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
        <w:tblW w:w="9704" w:type="dxa"/>
        <w:tblLook w:val="0000" w:firstRow="0" w:lastRow="0" w:firstColumn="0" w:lastColumn="0" w:noHBand="0" w:noVBand="0"/>
      </w:tblPr>
      <w:tblGrid>
        <w:gridCol w:w="1330"/>
        <w:gridCol w:w="1330"/>
        <w:gridCol w:w="3655"/>
        <w:gridCol w:w="1749"/>
        <w:gridCol w:w="1640"/>
      </w:tblGrid>
      <w:tr w:rsidR="00043460" w:rsidRPr="00E5651B" w:rsidTr="00043460">
        <w:trPr>
          <w:trHeight w:val="420"/>
        </w:trPr>
        <w:tc>
          <w:tcPr>
            <w:tcW w:w="8064" w:type="dxa"/>
            <w:gridSpan w:val="4"/>
            <w:tcBorders>
              <w:top w:val="nil"/>
              <w:left w:val="nil"/>
              <w:bottom w:val="nil"/>
              <w:right w:val="single" w:sz="4" w:space="0" w:color="000000"/>
            </w:tcBorders>
            <w:shd w:val="clear" w:color="auto" w:fill="FFFFFF"/>
            <w:noWrap/>
            <w:vAlign w:val="bottom"/>
          </w:tcPr>
          <w:p w:rsidR="00043460" w:rsidRPr="009651DF" w:rsidRDefault="00043460" w:rsidP="00043460">
            <w:pPr>
              <w:jc w:val="center"/>
              <w:rPr>
                <w:rFonts w:ascii="Tahoma" w:hAnsi="Tahoma" w:cs="Tahoma"/>
                <w:b/>
                <w:bCs/>
                <w:sz w:val="24"/>
                <w:szCs w:val="24"/>
              </w:rPr>
            </w:pPr>
            <w:r w:rsidRPr="009651DF">
              <w:rPr>
                <w:rFonts w:ascii="Tahoma" w:hAnsi="Tahoma" w:cs="Tahoma"/>
                <w:b/>
                <w:bCs/>
                <w:sz w:val="24"/>
                <w:szCs w:val="24"/>
              </w:rPr>
              <w:t>ПОЯСНИТЕЛЬНАЯ ЗАПИСКА</w:t>
            </w:r>
          </w:p>
        </w:tc>
        <w:tc>
          <w:tcPr>
            <w:tcW w:w="1640" w:type="dxa"/>
            <w:tcBorders>
              <w:top w:val="single" w:sz="4" w:space="0" w:color="auto"/>
              <w:left w:val="nil"/>
              <w:bottom w:val="single" w:sz="8" w:space="0" w:color="auto"/>
              <w:right w:val="single" w:sz="4"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КОДЫ</w:t>
            </w:r>
          </w:p>
        </w:tc>
      </w:tr>
      <w:tr w:rsidR="00043460" w:rsidRPr="00E5651B" w:rsidTr="00043460">
        <w:trPr>
          <w:trHeight w:val="315"/>
        </w:trPr>
        <w:tc>
          <w:tcPr>
            <w:tcW w:w="8064" w:type="dxa"/>
            <w:gridSpan w:val="4"/>
            <w:tcBorders>
              <w:top w:val="nil"/>
              <w:left w:val="nil"/>
              <w:bottom w:val="nil"/>
              <w:right w:val="single" w:sz="8" w:space="0" w:color="000000"/>
            </w:tcBorders>
            <w:shd w:val="clear" w:color="auto" w:fill="FFFFFF"/>
            <w:noWrap/>
            <w:vAlign w:val="bottom"/>
          </w:tcPr>
          <w:p w:rsidR="00043460" w:rsidRPr="00E5651B" w:rsidRDefault="00043460" w:rsidP="00EB11D0">
            <w:pPr>
              <w:jc w:val="center"/>
              <w:rPr>
                <w:rFonts w:ascii="Tahoma" w:hAnsi="Tahoma" w:cs="Tahoma"/>
                <w:b/>
                <w:bCs/>
                <w:sz w:val="16"/>
                <w:szCs w:val="16"/>
              </w:rPr>
            </w:pPr>
            <w:r w:rsidRPr="00E5651B">
              <w:rPr>
                <w:rFonts w:ascii="Tahoma" w:hAnsi="Tahoma" w:cs="Tahoma"/>
                <w:b/>
                <w:bCs/>
                <w:sz w:val="16"/>
                <w:szCs w:val="16"/>
              </w:rPr>
              <w:t xml:space="preserve">на  </w:t>
            </w:r>
            <w:r w:rsidR="008A3F3C">
              <w:rPr>
                <w:rFonts w:ascii="Tahoma" w:hAnsi="Tahoma" w:cs="Tahoma"/>
                <w:b/>
                <w:bCs/>
                <w:sz w:val="16"/>
                <w:szCs w:val="16"/>
              </w:rPr>
              <w:t xml:space="preserve">1 </w:t>
            </w:r>
            <w:r w:rsidR="0037639B">
              <w:rPr>
                <w:rFonts w:ascii="Tahoma" w:hAnsi="Tahoma" w:cs="Tahoma"/>
                <w:b/>
                <w:bCs/>
                <w:sz w:val="16"/>
                <w:szCs w:val="16"/>
              </w:rPr>
              <w:t>января</w:t>
            </w:r>
            <w:r w:rsidR="00697060">
              <w:rPr>
                <w:rFonts w:ascii="Tahoma" w:hAnsi="Tahoma" w:cs="Tahoma"/>
                <w:b/>
                <w:bCs/>
                <w:sz w:val="16"/>
                <w:szCs w:val="16"/>
              </w:rPr>
              <w:t xml:space="preserve">  2021</w:t>
            </w:r>
            <w:r w:rsidRPr="00E5651B">
              <w:rPr>
                <w:rFonts w:ascii="Tahoma" w:hAnsi="Tahoma" w:cs="Tahoma"/>
                <w:b/>
                <w:bCs/>
                <w:sz w:val="16"/>
                <w:szCs w:val="16"/>
              </w:rPr>
              <w:t xml:space="preserve"> г.</w:t>
            </w:r>
          </w:p>
        </w:tc>
        <w:tc>
          <w:tcPr>
            <w:tcW w:w="1640" w:type="dxa"/>
            <w:tcBorders>
              <w:top w:val="single" w:sz="8" w:space="0" w:color="auto"/>
              <w:left w:val="nil"/>
              <w:bottom w:val="single" w:sz="4" w:space="0" w:color="auto"/>
              <w:right w:val="single" w:sz="8"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0503160</w:t>
            </w:r>
          </w:p>
        </w:tc>
      </w:tr>
      <w:tr w:rsidR="00043460" w:rsidRPr="00E5651B" w:rsidTr="00043460">
        <w:trPr>
          <w:trHeight w:val="419"/>
        </w:trPr>
        <w:tc>
          <w:tcPr>
            <w:tcW w:w="1330"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330"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3655"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043460" w:rsidRPr="00E5651B" w:rsidRDefault="00465C8B" w:rsidP="00EB11D0">
            <w:pPr>
              <w:jc w:val="center"/>
              <w:rPr>
                <w:rFonts w:ascii="Tahoma" w:hAnsi="Tahoma" w:cs="Tahoma"/>
                <w:sz w:val="16"/>
                <w:szCs w:val="16"/>
              </w:rPr>
            </w:pPr>
            <w:r>
              <w:rPr>
                <w:rFonts w:ascii="Tahoma" w:hAnsi="Tahoma" w:cs="Tahoma"/>
                <w:sz w:val="16"/>
                <w:szCs w:val="16"/>
              </w:rPr>
              <w:t>01.</w:t>
            </w:r>
            <w:r w:rsidR="0037639B">
              <w:rPr>
                <w:rFonts w:ascii="Tahoma" w:hAnsi="Tahoma" w:cs="Tahoma"/>
                <w:sz w:val="16"/>
                <w:szCs w:val="16"/>
              </w:rPr>
              <w:t>01</w:t>
            </w:r>
            <w:r w:rsidR="00697060">
              <w:rPr>
                <w:rFonts w:ascii="Tahoma" w:hAnsi="Tahoma" w:cs="Tahoma"/>
                <w:sz w:val="16"/>
                <w:szCs w:val="16"/>
              </w:rPr>
              <w:t>.2021</w:t>
            </w:r>
          </w:p>
        </w:tc>
      </w:tr>
      <w:tr w:rsidR="00043460" w:rsidRPr="00E5651B" w:rsidTr="00043460">
        <w:trPr>
          <w:trHeight w:val="1515"/>
        </w:trPr>
        <w:tc>
          <w:tcPr>
            <w:tcW w:w="2660" w:type="dxa"/>
            <w:gridSpan w:val="2"/>
            <w:tcBorders>
              <w:top w:val="nil"/>
              <w:left w:val="nil"/>
              <w:bottom w:val="nil"/>
              <w:right w:val="nil"/>
            </w:tcBorders>
            <w:shd w:val="clear" w:color="auto" w:fill="FFFFFF"/>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 xml:space="preserve">Главный распорядитель, распорядитель, получатель бюджетных средств,     </w:t>
            </w:r>
            <w:r w:rsidRPr="00E5651B">
              <w:rPr>
                <w:rFonts w:ascii="Tahoma" w:hAnsi="Tahoma" w:cs="Tahoma"/>
                <w:sz w:val="16"/>
                <w:szCs w:val="16"/>
              </w:rPr>
              <w:br/>
              <w:t xml:space="preserve">главный администратор, администратор доходов бюджета,     </w:t>
            </w:r>
            <w:r w:rsidRPr="00E5651B">
              <w:rPr>
                <w:rFonts w:ascii="Tahoma" w:hAnsi="Tahoma" w:cs="Tahoma"/>
                <w:sz w:val="16"/>
                <w:szCs w:val="16"/>
              </w:rPr>
              <w:br/>
              <w:t xml:space="preserve">главный администратор, администратор источников     </w:t>
            </w:r>
            <w:r w:rsidRPr="00E5651B">
              <w:rPr>
                <w:rFonts w:ascii="Tahoma" w:hAnsi="Tahoma" w:cs="Tahoma"/>
                <w:sz w:val="16"/>
                <w:szCs w:val="16"/>
              </w:rPr>
              <w:br/>
              <w:t xml:space="preserve">финансирования дефицита бюджета </w:t>
            </w:r>
          </w:p>
        </w:tc>
        <w:tc>
          <w:tcPr>
            <w:tcW w:w="3655" w:type="dxa"/>
            <w:tcBorders>
              <w:top w:val="nil"/>
              <w:left w:val="nil"/>
              <w:bottom w:val="single" w:sz="4" w:space="0" w:color="auto"/>
              <w:right w:val="nil"/>
            </w:tcBorders>
            <w:shd w:val="clear" w:color="auto" w:fill="FFFFFF"/>
            <w:vAlign w:val="bottom"/>
          </w:tcPr>
          <w:p w:rsidR="00043460" w:rsidRPr="009572E5" w:rsidRDefault="00222F0A" w:rsidP="00043460">
            <w:pPr>
              <w:rPr>
                <w:rFonts w:ascii="Tahoma" w:hAnsi="Tahoma" w:cs="Tahoma"/>
                <w:sz w:val="20"/>
                <w:szCs w:val="20"/>
              </w:rPr>
            </w:pPr>
            <w:r>
              <w:rPr>
                <w:rFonts w:ascii="Tahoma" w:hAnsi="Tahoma" w:cs="Tahoma"/>
                <w:sz w:val="20"/>
                <w:szCs w:val="20"/>
              </w:rPr>
              <w:t>Главное управление МЧС России по Ненецкому автономному округу</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по ОКПО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bottom"/>
          </w:tcPr>
          <w:p w:rsidR="00043460" w:rsidRPr="00E5651B" w:rsidRDefault="00222F0A" w:rsidP="00043460">
            <w:pPr>
              <w:jc w:val="center"/>
              <w:rPr>
                <w:rFonts w:ascii="Tahoma" w:hAnsi="Tahoma" w:cs="Tahoma"/>
                <w:sz w:val="16"/>
                <w:szCs w:val="16"/>
              </w:rPr>
            </w:pPr>
            <w:r>
              <w:rPr>
                <w:rFonts w:ascii="Tahoma" w:hAnsi="Tahoma" w:cs="Tahoma"/>
                <w:sz w:val="16"/>
                <w:szCs w:val="16"/>
              </w:rPr>
              <w:t>08929095</w:t>
            </w:r>
          </w:p>
        </w:tc>
      </w:tr>
      <w:tr w:rsidR="00043460" w:rsidRPr="00E5651B" w:rsidTr="00043460">
        <w:trPr>
          <w:trHeight w:val="285"/>
        </w:trPr>
        <w:tc>
          <w:tcPr>
            <w:tcW w:w="2660" w:type="dxa"/>
            <w:gridSpan w:val="2"/>
            <w:tcBorders>
              <w:top w:val="nil"/>
              <w:left w:val="nil"/>
              <w:bottom w:val="nil"/>
              <w:right w:val="nil"/>
            </w:tcBorders>
            <w:shd w:val="clear" w:color="auto" w:fill="FFFFFF"/>
            <w:noWrap/>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Наименование бюджета</w:t>
            </w:r>
          </w:p>
        </w:tc>
        <w:tc>
          <w:tcPr>
            <w:tcW w:w="3655" w:type="dxa"/>
            <w:tcBorders>
              <w:top w:val="nil"/>
              <w:left w:val="nil"/>
              <w:bottom w:val="nil"/>
              <w:right w:val="nil"/>
            </w:tcBorders>
            <w:shd w:val="clear" w:color="auto" w:fill="FFFFFF"/>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single" w:sz="8" w:space="0" w:color="auto"/>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nil"/>
              <w:bottom w:val="single" w:sz="4" w:space="0" w:color="auto"/>
              <w:right w:val="single" w:sz="8" w:space="0" w:color="000000"/>
            </w:tcBorders>
            <w:shd w:val="clear" w:color="auto" w:fill="FFFFFF"/>
            <w:vAlign w:val="bottom"/>
          </w:tcPr>
          <w:p w:rsidR="00043460" w:rsidRPr="00E5651B" w:rsidRDefault="00043460" w:rsidP="00043460">
            <w:pPr>
              <w:jc w:val="center"/>
              <w:rPr>
                <w:rFonts w:ascii="Tahoma" w:hAnsi="Tahoma" w:cs="Tahoma"/>
                <w:sz w:val="16"/>
                <w:szCs w:val="16"/>
              </w:rPr>
            </w:pPr>
          </w:p>
        </w:tc>
      </w:tr>
      <w:tr w:rsidR="00043460" w:rsidRPr="00E5651B" w:rsidTr="00043460">
        <w:trPr>
          <w:trHeight w:val="285"/>
        </w:trPr>
        <w:tc>
          <w:tcPr>
            <w:tcW w:w="2660" w:type="dxa"/>
            <w:gridSpan w:val="2"/>
            <w:tcBorders>
              <w:top w:val="nil"/>
              <w:left w:val="nil"/>
              <w:bottom w:val="nil"/>
              <w:right w:val="nil"/>
            </w:tcBorders>
            <w:shd w:val="clear" w:color="auto" w:fill="FFFFFF"/>
            <w:noWrap/>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(публично-правового образования)</w:t>
            </w:r>
          </w:p>
        </w:tc>
        <w:tc>
          <w:tcPr>
            <w:tcW w:w="3655" w:type="dxa"/>
            <w:tcBorders>
              <w:top w:val="nil"/>
              <w:left w:val="nil"/>
              <w:bottom w:val="single" w:sz="4" w:space="0" w:color="auto"/>
              <w:right w:val="nil"/>
            </w:tcBorders>
            <w:shd w:val="clear" w:color="auto" w:fill="FFFFFF"/>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Федеральный бюджет</w:t>
            </w:r>
          </w:p>
        </w:tc>
        <w:tc>
          <w:tcPr>
            <w:tcW w:w="1749" w:type="dxa"/>
            <w:tcBorders>
              <w:top w:val="nil"/>
              <w:left w:val="nil"/>
              <w:bottom w:val="nil"/>
              <w:right w:val="nil"/>
            </w:tcBorders>
            <w:shd w:val="clear" w:color="auto" w:fill="FFFFFF"/>
            <w:noWrap/>
            <w:vAlign w:val="bottom"/>
          </w:tcPr>
          <w:p w:rsidR="00043460" w:rsidRPr="00E5651B" w:rsidRDefault="00043460" w:rsidP="00EC668D">
            <w:pPr>
              <w:jc w:val="right"/>
              <w:rPr>
                <w:rFonts w:ascii="Tahoma" w:hAnsi="Tahoma" w:cs="Tahoma"/>
                <w:sz w:val="16"/>
                <w:szCs w:val="16"/>
              </w:rPr>
            </w:pPr>
            <w:r w:rsidRPr="00E5651B">
              <w:rPr>
                <w:rFonts w:ascii="Tahoma" w:hAnsi="Tahoma" w:cs="Tahoma"/>
                <w:sz w:val="16"/>
                <w:szCs w:val="16"/>
              </w:rPr>
              <w:t>по ОКТ</w:t>
            </w:r>
            <w:r w:rsidR="00EC668D">
              <w:rPr>
                <w:rFonts w:ascii="Tahoma" w:hAnsi="Tahoma" w:cs="Tahoma"/>
                <w:sz w:val="16"/>
                <w:szCs w:val="16"/>
              </w:rPr>
              <w:t>М</w:t>
            </w:r>
            <w:r w:rsidRPr="00E5651B">
              <w:rPr>
                <w:rFonts w:ascii="Tahoma" w:hAnsi="Tahoma" w:cs="Tahoma"/>
                <w:sz w:val="16"/>
                <w:szCs w:val="16"/>
              </w:rPr>
              <w:t>О</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EC668D" w:rsidRDefault="00EC668D" w:rsidP="00043460">
            <w:pPr>
              <w:jc w:val="center"/>
              <w:rPr>
                <w:rFonts w:ascii="Tahoma" w:hAnsi="Tahoma" w:cs="Tahoma"/>
                <w:sz w:val="16"/>
                <w:szCs w:val="16"/>
              </w:rPr>
            </w:pPr>
          </w:p>
          <w:p w:rsidR="00043460" w:rsidRDefault="00222F0A" w:rsidP="00043460">
            <w:pPr>
              <w:jc w:val="center"/>
              <w:rPr>
                <w:rFonts w:ascii="Tahoma" w:hAnsi="Tahoma" w:cs="Tahoma"/>
                <w:sz w:val="16"/>
                <w:szCs w:val="16"/>
              </w:rPr>
            </w:pPr>
            <w:r>
              <w:rPr>
                <w:rFonts w:ascii="Tahoma" w:hAnsi="Tahoma" w:cs="Tahoma"/>
                <w:sz w:val="16"/>
                <w:szCs w:val="16"/>
              </w:rPr>
              <w:t>11851000</w:t>
            </w:r>
          </w:p>
          <w:p w:rsidR="00EC668D" w:rsidRPr="00E5651B" w:rsidRDefault="00EC668D" w:rsidP="00043460">
            <w:pPr>
              <w:jc w:val="center"/>
              <w:rPr>
                <w:rFonts w:ascii="Tahoma" w:hAnsi="Tahoma" w:cs="Tahoma"/>
                <w:sz w:val="16"/>
                <w:szCs w:val="16"/>
              </w:rPr>
            </w:pPr>
          </w:p>
        </w:tc>
      </w:tr>
      <w:tr w:rsidR="00043460" w:rsidRPr="00E5651B" w:rsidTr="00043460">
        <w:trPr>
          <w:trHeight w:val="615"/>
        </w:trPr>
        <w:tc>
          <w:tcPr>
            <w:tcW w:w="2660" w:type="dxa"/>
            <w:gridSpan w:val="2"/>
            <w:tcBorders>
              <w:top w:val="nil"/>
              <w:left w:val="nil"/>
              <w:bottom w:val="nil"/>
              <w:right w:val="nil"/>
            </w:tcBorders>
            <w:shd w:val="clear" w:color="auto" w:fill="FFFFFF"/>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Периодичность: месячная, квартальная, годовая</w:t>
            </w:r>
          </w:p>
        </w:tc>
        <w:tc>
          <w:tcPr>
            <w:tcW w:w="3655"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single" w:sz="8" w:space="0" w:color="auto"/>
              <w:bottom w:val="single" w:sz="4" w:space="0" w:color="auto"/>
              <w:right w:val="single" w:sz="8"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 </w:t>
            </w:r>
          </w:p>
        </w:tc>
      </w:tr>
      <w:tr w:rsidR="00043460" w:rsidRPr="00E5651B" w:rsidTr="00043460">
        <w:trPr>
          <w:trHeight w:val="285"/>
        </w:trPr>
        <w:tc>
          <w:tcPr>
            <w:tcW w:w="2660" w:type="dxa"/>
            <w:gridSpan w:val="2"/>
            <w:tcBorders>
              <w:top w:val="nil"/>
              <w:left w:val="nil"/>
              <w:bottom w:val="nil"/>
              <w:right w:val="nil"/>
            </w:tcBorders>
            <w:shd w:val="clear" w:color="auto" w:fill="FFFFFF"/>
            <w:noWrap/>
            <w:vAlign w:val="center"/>
          </w:tcPr>
          <w:p w:rsidR="00043460" w:rsidRPr="00E5651B" w:rsidRDefault="00043460" w:rsidP="00043460">
            <w:pPr>
              <w:rPr>
                <w:rFonts w:ascii="Tahoma" w:hAnsi="Tahoma" w:cs="Tahoma"/>
                <w:sz w:val="16"/>
                <w:szCs w:val="16"/>
              </w:rPr>
            </w:pPr>
            <w:r w:rsidRPr="00E5651B">
              <w:rPr>
                <w:rFonts w:ascii="Tahoma" w:hAnsi="Tahoma" w:cs="Tahoma"/>
                <w:sz w:val="16"/>
                <w:szCs w:val="16"/>
              </w:rPr>
              <w:t xml:space="preserve">Единица измерения: </w:t>
            </w:r>
            <w:proofErr w:type="spellStart"/>
            <w:r w:rsidRPr="00E5651B">
              <w:rPr>
                <w:rFonts w:ascii="Tahoma" w:hAnsi="Tahoma" w:cs="Tahoma"/>
                <w:sz w:val="16"/>
                <w:szCs w:val="16"/>
              </w:rPr>
              <w:t>руб</w:t>
            </w:r>
            <w:proofErr w:type="spellEnd"/>
          </w:p>
        </w:tc>
        <w:tc>
          <w:tcPr>
            <w:tcW w:w="3655" w:type="dxa"/>
            <w:tcBorders>
              <w:top w:val="nil"/>
              <w:left w:val="nil"/>
              <w:bottom w:val="nil"/>
              <w:right w:val="nil"/>
            </w:tcBorders>
            <w:shd w:val="clear" w:color="auto" w:fill="FFFFFF"/>
            <w:noWrap/>
            <w:vAlign w:val="bottom"/>
          </w:tcPr>
          <w:p w:rsidR="00043460" w:rsidRPr="00E5651B" w:rsidRDefault="00043460" w:rsidP="00043460">
            <w:pPr>
              <w:rPr>
                <w:rFonts w:ascii="Tahoma" w:hAnsi="Tahoma" w:cs="Tahoma"/>
                <w:sz w:val="16"/>
                <w:szCs w:val="16"/>
              </w:rPr>
            </w:pPr>
            <w:r w:rsidRPr="00E5651B">
              <w:rPr>
                <w:rFonts w:ascii="Tahoma" w:hAnsi="Tahoma" w:cs="Tahoma"/>
                <w:sz w:val="16"/>
                <w:szCs w:val="16"/>
              </w:rPr>
              <w:t> </w:t>
            </w:r>
          </w:p>
        </w:tc>
        <w:tc>
          <w:tcPr>
            <w:tcW w:w="1749" w:type="dxa"/>
            <w:tcBorders>
              <w:top w:val="nil"/>
              <w:left w:val="nil"/>
              <w:bottom w:val="nil"/>
              <w:right w:val="nil"/>
            </w:tcBorders>
            <w:shd w:val="clear" w:color="auto" w:fill="FFFFFF"/>
            <w:noWrap/>
            <w:vAlign w:val="bottom"/>
          </w:tcPr>
          <w:p w:rsidR="00043460" w:rsidRPr="00E5651B" w:rsidRDefault="00043460" w:rsidP="00043460">
            <w:pPr>
              <w:jc w:val="right"/>
              <w:rPr>
                <w:rFonts w:ascii="Tahoma" w:hAnsi="Tahoma" w:cs="Tahoma"/>
                <w:sz w:val="16"/>
                <w:szCs w:val="16"/>
              </w:rPr>
            </w:pPr>
            <w:r w:rsidRPr="00E5651B">
              <w:rPr>
                <w:rFonts w:ascii="Tahoma" w:hAnsi="Tahoma" w:cs="Tahoma"/>
                <w:sz w:val="16"/>
                <w:szCs w:val="16"/>
              </w:rPr>
              <w:t> </w:t>
            </w:r>
          </w:p>
        </w:tc>
        <w:tc>
          <w:tcPr>
            <w:tcW w:w="1640" w:type="dxa"/>
            <w:tcBorders>
              <w:top w:val="single" w:sz="4" w:space="0" w:color="auto"/>
              <w:left w:val="single" w:sz="8" w:space="0" w:color="auto"/>
              <w:bottom w:val="single" w:sz="8" w:space="0" w:color="auto"/>
              <w:right w:val="single" w:sz="8" w:space="0" w:color="000000"/>
            </w:tcBorders>
            <w:shd w:val="clear" w:color="auto" w:fill="FFFFFF"/>
            <w:noWrap/>
            <w:vAlign w:val="center"/>
          </w:tcPr>
          <w:p w:rsidR="00043460" w:rsidRPr="00E5651B" w:rsidRDefault="00043460" w:rsidP="00043460">
            <w:pPr>
              <w:jc w:val="center"/>
              <w:rPr>
                <w:rFonts w:ascii="Tahoma" w:hAnsi="Tahoma" w:cs="Tahoma"/>
                <w:sz w:val="16"/>
                <w:szCs w:val="16"/>
              </w:rPr>
            </w:pPr>
            <w:r w:rsidRPr="00E5651B">
              <w:rPr>
                <w:rFonts w:ascii="Tahoma" w:hAnsi="Tahoma" w:cs="Tahoma"/>
                <w:sz w:val="16"/>
                <w:szCs w:val="16"/>
              </w:rPr>
              <w:t>383</w:t>
            </w:r>
          </w:p>
        </w:tc>
      </w:tr>
    </w:tbl>
    <w:p w:rsidR="00D63010" w:rsidRDefault="00D63010" w:rsidP="00D61B5E">
      <w:pPr>
        <w:jc w:val="center"/>
      </w:pPr>
    </w:p>
    <w:p w:rsidR="00D63010" w:rsidRDefault="00D63010" w:rsidP="00D61B5E">
      <w:pPr>
        <w:jc w:val="center"/>
      </w:pPr>
    </w:p>
    <w:p w:rsidR="00D63010" w:rsidRDefault="00D63010" w:rsidP="00D61B5E">
      <w:pPr>
        <w:jc w:val="center"/>
      </w:pPr>
    </w:p>
    <w:p w:rsidR="00D61B5E" w:rsidRDefault="00D61B5E" w:rsidP="00D61B5E">
      <w:pPr>
        <w:jc w:val="center"/>
      </w:pPr>
    </w:p>
    <w:p w:rsidR="0012680C" w:rsidRDefault="0012680C" w:rsidP="0012680C">
      <w:pPr>
        <w:pStyle w:val="a3"/>
        <w:ind w:firstLine="540"/>
        <w:jc w:val="center"/>
        <w:rPr>
          <w:sz w:val="28"/>
          <w:szCs w:val="28"/>
        </w:rPr>
      </w:pPr>
      <w:r w:rsidRPr="0012680C">
        <w:rPr>
          <w:b/>
          <w:color w:val="000000"/>
          <w:sz w:val="28"/>
          <w:szCs w:val="28"/>
          <w:shd w:val="clear" w:color="auto" w:fill="FFFFFF"/>
        </w:rPr>
        <w:t>Раздел 1 "Организационная структура субъекта бюджетной отчетности"</w:t>
      </w:r>
    </w:p>
    <w:p w:rsidR="00AC627A" w:rsidRDefault="00222F0A" w:rsidP="00AC627A">
      <w:pPr>
        <w:ind w:firstLine="708"/>
        <w:jc w:val="both"/>
      </w:pPr>
      <w:r>
        <w:t>Главное управление МЧС России по Ненецкому автономному округу создано 09.12.2004 года и действует на основании Положения, утвержденного приказом МЧС России от 06.08.2004 № 372 «Об утверждении Положения о тер</w:t>
      </w:r>
      <w:r w:rsidR="00AC627A">
        <w:t>риториальном органе МЧС России». Главное управление</w:t>
      </w:r>
      <w:r w:rsidR="00AC627A" w:rsidRPr="00AC627A">
        <w:t xml:space="preserve"> находится в ведении МЧС России. </w:t>
      </w:r>
    </w:p>
    <w:p w:rsidR="004D50A6" w:rsidRPr="00B07EC4" w:rsidRDefault="004D50A6" w:rsidP="004D50A6">
      <w:pPr>
        <w:ind w:firstLine="709"/>
        <w:jc w:val="both"/>
      </w:pPr>
      <w:r w:rsidRPr="00B07EC4">
        <w:t xml:space="preserve">Полное наименование организации </w:t>
      </w:r>
      <w:r>
        <w:t>–</w:t>
      </w:r>
      <w:r w:rsidRPr="00B07EC4">
        <w:t xml:space="preserve"> </w:t>
      </w:r>
      <w: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Ненецкому автономному округу, </w:t>
      </w:r>
      <w:r w:rsidRPr="00B07EC4">
        <w:t xml:space="preserve"> краткое – </w:t>
      </w:r>
      <w:r>
        <w:t>Главное управление МЧС России по Ненецкому автономному округу</w:t>
      </w:r>
      <w:r w:rsidRPr="00B07EC4">
        <w:t>.</w:t>
      </w:r>
    </w:p>
    <w:p w:rsidR="004D50A6" w:rsidRPr="00AC627A" w:rsidRDefault="004D50A6" w:rsidP="004D50A6">
      <w:pPr>
        <w:ind w:firstLine="709"/>
        <w:jc w:val="both"/>
      </w:pPr>
      <w:r>
        <w:t>Юридический адрес Главного управления МЧС России по Ненецкому автономному округу</w:t>
      </w:r>
      <w:r w:rsidRPr="00B07EC4">
        <w:t xml:space="preserve">: </w:t>
      </w:r>
      <w:r>
        <w:t>166000</w:t>
      </w:r>
      <w:r w:rsidRPr="00B07EC4">
        <w:t xml:space="preserve">, </w:t>
      </w:r>
      <w:r>
        <w:t xml:space="preserve">г. Нарьян-Мар, ул. </w:t>
      </w:r>
      <w:proofErr w:type="spellStart"/>
      <w:r>
        <w:t>Пырерко</w:t>
      </w:r>
      <w:proofErr w:type="spellEnd"/>
      <w:r>
        <w:t>, д. 14</w:t>
      </w:r>
      <w:r w:rsidRPr="00B07EC4">
        <w:t>.</w:t>
      </w:r>
      <w:r>
        <w:t xml:space="preserve"> ИНН 2983002527, КПП 298301001.</w:t>
      </w:r>
    </w:p>
    <w:p w:rsidR="00AC627A" w:rsidRPr="00AC627A" w:rsidRDefault="00AC627A" w:rsidP="00AC627A">
      <w:pPr>
        <w:ind w:firstLine="708"/>
        <w:jc w:val="both"/>
      </w:pPr>
      <w:r w:rsidRPr="00AC627A">
        <w:t xml:space="preserve">В своей деятельности </w:t>
      </w:r>
      <w:r>
        <w:t>Главное управление</w:t>
      </w:r>
      <w:r w:rsidRPr="00AC627A">
        <w:t xml:space="preserve">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МЧС России, иных федеральных органов исполнительной власти в части, касающейся установленных видов деятельности</w:t>
      </w:r>
      <w:r>
        <w:t>.</w:t>
      </w:r>
      <w:r w:rsidRPr="00AC627A">
        <w:t xml:space="preserve"> </w:t>
      </w:r>
    </w:p>
    <w:p w:rsidR="00AC627A" w:rsidRPr="00AC627A" w:rsidRDefault="00AC627A" w:rsidP="00AC627A">
      <w:pPr>
        <w:ind w:firstLine="709"/>
        <w:jc w:val="both"/>
        <w:rPr>
          <w:rFonts w:eastAsia="Calibri"/>
          <w:lang w:eastAsia="en-US"/>
        </w:rPr>
      </w:pPr>
      <w:r w:rsidRPr="00AC627A">
        <w:t>Полномочия учредителя Учреждения осуществляет МЧС России.</w:t>
      </w:r>
      <w:r>
        <w:t xml:space="preserve"> </w:t>
      </w:r>
      <w:r w:rsidRPr="00AC627A">
        <w:rPr>
          <w:rFonts w:eastAsia="Calibri"/>
          <w:lang w:eastAsia="en-US"/>
        </w:rPr>
        <w:t>Код по Сводному реестру главных распорядителей, распорядителей и получателей средств федерального бюджета – 001</w:t>
      </w:r>
      <w:r>
        <w:rPr>
          <w:rFonts w:eastAsia="Calibri"/>
          <w:lang w:eastAsia="en-US"/>
        </w:rPr>
        <w:t>784500</w:t>
      </w:r>
      <w:r w:rsidRPr="00AC627A">
        <w:rPr>
          <w:rFonts w:eastAsia="Calibri"/>
          <w:lang w:eastAsia="en-US"/>
        </w:rPr>
        <w:t>.</w:t>
      </w:r>
    </w:p>
    <w:p w:rsidR="00AC627A" w:rsidRPr="00AC627A" w:rsidRDefault="00AC627A" w:rsidP="00AC627A">
      <w:pPr>
        <w:ind w:firstLine="709"/>
        <w:jc w:val="both"/>
      </w:pPr>
      <w:r w:rsidRPr="00AC627A">
        <w:t>В органах Федерального казначейства открыты следующие лицевые счета:</w:t>
      </w:r>
    </w:p>
    <w:p w:rsidR="00AC627A" w:rsidRPr="00AC627A" w:rsidRDefault="00AC627A" w:rsidP="00AC627A">
      <w:pPr>
        <w:ind w:firstLine="709"/>
        <w:jc w:val="both"/>
        <w:rPr>
          <w:rFonts w:eastAsia="Calibri"/>
          <w:lang w:eastAsia="en-US"/>
        </w:rPr>
      </w:pPr>
      <w:r>
        <w:rPr>
          <w:rFonts w:eastAsia="Calibri"/>
          <w:lang w:eastAsia="en-US"/>
        </w:rPr>
        <w:lastRenderedPageBreak/>
        <w:t>03841784500</w:t>
      </w:r>
      <w:r w:rsidRPr="00AC627A">
        <w:rPr>
          <w:rFonts w:eastAsia="Calibri"/>
          <w:lang w:eastAsia="en-US"/>
        </w:rPr>
        <w:t xml:space="preserve"> – Лицевой счет получателя бюджетных средств;</w:t>
      </w:r>
    </w:p>
    <w:p w:rsidR="00AC627A" w:rsidRPr="00AC627A" w:rsidRDefault="00AC627A" w:rsidP="00AC627A">
      <w:pPr>
        <w:ind w:firstLine="709"/>
        <w:jc w:val="both"/>
        <w:rPr>
          <w:rFonts w:eastAsia="Calibri"/>
          <w:lang w:eastAsia="en-US"/>
        </w:rPr>
      </w:pPr>
      <w:r w:rsidRPr="00AC627A">
        <w:rPr>
          <w:rFonts w:eastAsia="Calibri"/>
          <w:lang w:eastAsia="en-US"/>
        </w:rPr>
        <w:t>04</w:t>
      </w:r>
      <w:r>
        <w:rPr>
          <w:rFonts w:eastAsia="Calibri"/>
          <w:lang w:eastAsia="en-US"/>
        </w:rPr>
        <w:t>841784500</w:t>
      </w:r>
      <w:r w:rsidRPr="00AC627A">
        <w:rPr>
          <w:rFonts w:eastAsia="Calibri"/>
          <w:lang w:eastAsia="en-US"/>
        </w:rPr>
        <w:t xml:space="preserve"> – Лицевой счет администратора доходов бюджета;</w:t>
      </w:r>
    </w:p>
    <w:p w:rsidR="00AC627A" w:rsidRPr="00AC627A" w:rsidRDefault="00AC627A" w:rsidP="00AC627A">
      <w:pPr>
        <w:ind w:firstLine="709"/>
        <w:jc w:val="both"/>
        <w:rPr>
          <w:rFonts w:eastAsia="Calibri"/>
          <w:lang w:eastAsia="en-US"/>
        </w:rPr>
      </w:pPr>
      <w:r w:rsidRPr="00AC627A">
        <w:rPr>
          <w:rFonts w:eastAsia="Calibri"/>
          <w:lang w:eastAsia="en-US"/>
        </w:rPr>
        <w:t>05</w:t>
      </w:r>
      <w:r>
        <w:rPr>
          <w:rFonts w:eastAsia="Calibri"/>
          <w:lang w:eastAsia="en-US"/>
        </w:rPr>
        <w:t>841784500 –</w:t>
      </w:r>
      <w:r w:rsidRPr="00AC627A">
        <w:rPr>
          <w:rFonts w:eastAsia="Calibri"/>
          <w:lang w:eastAsia="en-US"/>
        </w:rPr>
        <w:t>Лицевой счет средств, поступающих во временное распоряжение.</w:t>
      </w:r>
    </w:p>
    <w:p w:rsidR="00AC627A" w:rsidRPr="00AC627A" w:rsidRDefault="00AC627A" w:rsidP="00AC627A">
      <w:pPr>
        <w:ind w:firstLine="709"/>
        <w:jc w:val="both"/>
        <w:rPr>
          <w:rFonts w:eastAsia="Calibri"/>
          <w:lang w:eastAsia="en-US"/>
        </w:rPr>
      </w:pPr>
      <w:proofErr w:type="gramStart"/>
      <w:r w:rsidRPr="00AC627A">
        <w:rPr>
          <w:rFonts w:eastAsia="Calibri"/>
          <w:lang w:eastAsia="en-US"/>
        </w:rPr>
        <w:t>Показатели бюджетной отчетности сформированы в соответствии с приказами Минфина России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01 марта 2016 г. № 15н «Об утверждении дополнительных форм годовой и квартальной бюджетной отчетности об исполнении федерального бюджета и Инструкции о порядке их</w:t>
      </w:r>
      <w:proofErr w:type="gramEnd"/>
      <w:r w:rsidRPr="00AC627A">
        <w:rPr>
          <w:rFonts w:eastAsia="Calibri"/>
          <w:lang w:eastAsia="en-US"/>
        </w:rPr>
        <w:t xml:space="preserve"> составления и представления», </w:t>
      </w:r>
      <w:r w:rsidRPr="00AC627A">
        <w:rPr>
          <w:rFonts w:eastAsia="Calibri"/>
          <w:shd w:val="clear" w:color="auto" w:fill="FFFFFF"/>
          <w:lang w:eastAsia="en-US"/>
        </w:rPr>
        <w:t>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004D50A6">
        <w:rPr>
          <w:rFonts w:eastAsia="Calibri"/>
          <w:lang w:eastAsia="en-US"/>
        </w:rPr>
        <w:t>.</w:t>
      </w:r>
    </w:p>
    <w:p w:rsidR="00AC627A" w:rsidRPr="00AC627A" w:rsidRDefault="00AC627A" w:rsidP="00AC627A">
      <w:pPr>
        <w:ind w:firstLine="708"/>
        <w:jc w:val="both"/>
      </w:pPr>
    </w:p>
    <w:p w:rsidR="004D50A6" w:rsidRPr="004D50A6" w:rsidRDefault="004D50A6" w:rsidP="004D50A6">
      <w:pPr>
        <w:jc w:val="center"/>
        <w:rPr>
          <w:b/>
          <w:i/>
        </w:rPr>
      </w:pPr>
      <w:r w:rsidRPr="004D50A6">
        <w:rPr>
          <w:b/>
          <w:i/>
        </w:rPr>
        <w:t>Раздел 2 «Результаты деятельности субъекта бюджетной отчетности»</w:t>
      </w:r>
    </w:p>
    <w:p w:rsidR="00AC627A" w:rsidRDefault="00AC627A" w:rsidP="004D50A6">
      <w:pPr>
        <w:ind w:firstLine="708"/>
        <w:jc w:val="center"/>
      </w:pPr>
    </w:p>
    <w:p w:rsidR="00222F0A" w:rsidRDefault="00222F0A" w:rsidP="00222F0A">
      <w:pPr>
        <w:ind w:firstLine="708"/>
        <w:jc w:val="both"/>
      </w:pPr>
      <w:r>
        <w:t xml:space="preserve"> </w:t>
      </w:r>
      <w:proofErr w:type="gramStart"/>
      <w:r w:rsidRPr="00697060">
        <w:t xml:space="preserve">Общая </w:t>
      </w:r>
      <w:r w:rsidR="00697060">
        <w:t xml:space="preserve">штатная </w:t>
      </w:r>
      <w:r w:rsidRPr="00697060">
        <w:t xml:space="preserve">численность </w:t>
      </w:r>
      <w:r w:rsidR="00EB11D0" w:rsidRPr="00697060">
        <w:t>183</w:t>
      </w:r>
      <w:r w:rsidRPr="00697060">
        <w:t xml:space="preserve"> человек, в том числе </w:t>
      </w:r>
      <w:r w:rsidR="00697060" w:rsidRPr="00697060">
        <w:t xml:space="preserve">100 </w:t>
      </w:r>
      <w:r w:rsidRPr="00697060">
        <w:t>человек - сотрудники,</w:t>
      </w:r>
      <w:r w:rsidR="00BC19C5" w:rsidRPr="00697060">
        <w:t xml:space="preserve"> 1- военнослужащий,</w:t>
      </w:r>
      <w:r w:rsidRPr="00697060">
        <w:t xml:space="preserve"> </w:t>
      </w:r>
      <w:r w:rsidR="00697060" w:rsidRPr="00697060">
        <w:t>13</w:t>
      </w:r>
      <w:r w:rsidRPr="00697060">
        <w:t xml:space="preserve"> человек – федеральная государственная гражданская служба,   </w:t>
      </w:r>
      <w:r w:rsidR="00697060" w:rsidRPr="00697060">
        <w:t xml:space="preserve">62 </w:t>
      </w:r>
      <w:r w:rsidRPr="00697060">
        <w:t>че</w:t>
      </w:r>
      <w:r w:rsidR="004D50A6">
        <w:t>ловека – гражданский персонал, фактическая численность составляет 150 чел. В том числе,  93</w:t>
      </w:r>
      <w:r w:rsidR="004D50A6" w:rsidRPr="00697060">
        <w:t xml:space="preserve"> человек - сотрудники, 1- военнослужащий, 1</w:t>
      </w:r>
      <w:r w:rsidR="004D50A6">
        <w:t>2</w:t>
      </w:r>
      <w:r w:rsidR="004D50A6" w:rsidRPr="00697060">
        <w:t xml:space="preserve"> человек – федеральная государственная гражданская служба,   </w:t>
      </w:r>
      <w:r w:rsidR="004D50A6">
        <w:t>44</w:t>
      </w:r>
      <w:r w:rsidR="004D50A6" w:rsidRPr="00697060">
        <w:t xml:space="preserve"> че</w:t>
      </w:r>
      <w:r w:rsidR="004D50A6">
        <w:t>ловека – гражданский персонал,</w:t>
      </w:r>
      <w:proofErr w:type="gramEnd"/>
    </w:p>
    <w:p w:rsidR="004D50A6" w:rsidRPr="004D50A6" w:rsidRDefault="004D50A6" w:rsidP="004D50A6">
      <w:pPr>
        <w:ind w:firstLine="708"/>
        <w:contextualSpacing/>
        <w:jc w:val="both"/>
        <w:rPr>
          <w:rFonts w:eastAsia="Calibri"/>
          <w:lang w:eastAsia="en-US"/>
        </w:rPr>
      </w:pPr>
      <w:r w:rsidRPr="004D50A6">
        <w:rPr>
          <w:rFonts w:eastAsia="Calibri"/>
          <w:lang w:eastAsia="en-US"/>
        </w:rPr>
        <w:t>За 20</w:t>
      </w:r>
      <w:r>
        <w:rPr>
          <w:rFonts w:eastAsia="Calibri"/>
          <w:lang w:eastAsia="en-US"/>
        </w:rPr>
        <w:t>20</w:t>
      </w:r>
      <w:r w:rsidRPr="004D50A6">
        <w:rPr>
          <w:rFonts w:eastAsia="Calibri"/>
          <w:lang w:eastAsia="en-US"/>
        </w:rPr>
        <w:t xml:space="preserve"> год заключено </w:t>
      </w:r>
      <w:r>
        <w:rPr>
          <w:rFonts w:eastAsia="Calibri"/>
          <w:lang w:eastAsia="en-US"/>
        </w:rPr>
        <w:t>6</w:t>
      </w:r>
      <w:r w:rsidRPr="004D50A6">
        <w:rPr>
          <w:rFonts w:eastAsia="Calibri"/>
          <w:lang w:eastAsia="en-US"/>
        </w:rPr>
        <w:t xml:space="preserve">6 государственных контрактов на общую сумму </w:t>
      </w:r>
      <w:r>
        <w:rPr>
          <w:rFonts w:eastAsia="Calibri"/>
          <w:lang w:eastAsia="en-US"/>
        </w:rPr>
        <w:t>11 712 713,31</w:t>
      </w:r>
      <w:r w:rsidRPr="004D50A6">
        <w:rPr>
          <w:rFonts w:eastAsia="Calibri"/>
          <w:lang w:eastAsia="en-US"/>
        </w:rPr>
        <w:t xml:space="preserve"> рубл</w:t>
      </w:r>
      <w:r>
        <w:rPr>
          <w:rFonts w:eastAsia="Calibri"/>
          <w:lang w:eastAsia="en-US"/>
        </w:rPr>
        <w:t>ь</w:t>
      </w:r>
      <w:r w:rsidRPr="004D50A6">
        <w:rPr>
          <w:rFonts w:eastAsia="Calibri"/>
          <w:lang w:eastAsia="en-US"/>
        </w:rPr>
        <w:t xml:space="preserve">. </w:t>
      </w:r>
    </w:p>
    <w:p w:rsidR="004D50A6" w:rsidRPr="004D50A6" w:rsidRDefault="004D50A6" w:rsidP="004D50A6">
      <w:pPr>
        <w:ind w:firstLine="708"/>
        <w:contextualSpacing/>
        <w:jc w:val="both"/>
        <w:rPr>
          <w:rFonts w:eastAsia="Calibri"/>
          <w:lang w:eastAsia="en-US"/>
        </w:rPr>
      </w:pPr>
      <w:r w:rsidRPr="004D50A6">
        <w:rPr>
          <w:rFonts w:eastAsia="Calibri"/>
          <w:lang w:eastAsia="en-US"/>
        </w:rPr>
        <w:t xml:space="preserve">В отчетном периоде повышение квалификации прошли </w:t>
      </w:r>
      <w:r>
        <w:rPr>
          <w:rFonts w:eastAsia="Calibri"/>
          <w:lang w:eastAsia="en-US"/>
        </w:rPr>
        <w:t>17</w:t>
      </w:r>
      <w:r w:rsidRPr="004D50A6">
        <w:rPr>
          <w:rFonts w:eastAsia="Calibri"/>
          <w:lang w:eastAsia="en-US"/>
        </w:rPr>
        <w:t xml:space="preserve"> работников</w:t>
      </w:r>
      <w:r>
        <w:rPr>
          <w:rFonts w:eastAsia="Calibri"/>
          <w:lang w:eastAsia="en-US"/>
        </w:rPr>
        <w:t>, сотрудников</w:t>
      </w:r>
      <w:r w:rsidRPr="004D50A6">
        <w:rPr>
          <w:rFonts w:eastAsia="Calibri"/>
          <w:lang w:eastAsia="en-US"/>
        </w:rPr>
        <w:t xml:space="preserve"> </w:t>
      </w:r>
      <w:r>
        <w:rPr>
          <w:rFonts w:eastAsia="Calibri"/>
          <w:lang w:eastAsia="en-US"/>
        </w:rPr>
        <w:t>Главного управления</w:t>
      </w:r>
      <w:r w:rsidRPr="004D50A6">
        <w:rPr>
          <w:rFonts w:eastAsia="Calibri"/>
          <w:lang w:eastAsia="en-US"/>
        </w:rPr>
        <w:t>.</w:t>
      </w:r>
    </w:p>
    <w:p w:rsidR="004D50A6" w:rsidRPr="004D50A6" w:rsidRDefault="004D50A6" w:rsidP="004D50A6">
      <w:pPr>
        <w:ind w:firstLine="708"/>
        <w:jc w:val="both"/>
        <w:rPr>
          <w:rFonts w:eastAsia="Calibri"/>
          <w:lang w:eastAsia="en-US"/>
        </w:rPr>
      </w:pPr>
      <w:r w:rsidRPr="004D50A6">
        <w:rPr>
          <w:rFonts w:eastAsia="Calibri"/>
          <w:lang w:eastAsia="en-US"/>
        </w:rPr>
        <w:t xml:space="preserve">Проведение анализа технического состояния объектов нефинансовых активов и определение эффективности использования, а также мероприятия по улучшению их состояния и сохранности: </w:t>
      </w:r>
    </w:p>
    <w:p w:rsidR="004D50A6" w:rsidRPr="004D50A6" w:rsidRDefault="004D50A6" w:rsidP="004D50A6">
      <w:pPr>
        <w:ind w:firstLine="708"/>
        <w:jc w:val="both"/>
        <w:rPr>
          <w:rFonts w:eastAsia="Calibri"/>
          <w:lang w:eastAsia="en-US"/>
        </w:rPr>
      </w:pPr>
      <w:r w:rsidRPr="004D50A6">
        <w:rPr>
          <w:rFonts w:eastAsia="Calibri"/>
          <w:lang w:eastAsia="en-US"/>
        </w:rPr>
        <w:t>- своевременное документальное оформление и отражение в учете поступления объектов нефинансовых активов, их внутреннего перемещения, выбытия;</w:t>
      </w:r>
    </w:p>
    <w:p w:rsidR="004D50A6" w:rsidRPr="004D50A6" w:rsidRDefault="004D50A6" w:rsidP="004D50A6">
      <w:pPr>
        <w:ind w:firstLine="708"/>
        <w:jc w:val="both"/>
        <w:rPr>
          <w:rFonts w:eastAsia="Calibri"/>
          <w:lang w:eastAsia="en-US"/>
        </w:rPr>
      </w:pPr>
      <w:r w:rsidRPr="004D50A6">
        <w:rPr>
          <w:rFonts w:eastAsia="Calibri"/>
          <w:lang w:eastAsia="en-US"/>
        </w:rPr>
        <w:t xml:space="preserve"> - правильное начисление и отражение в учете амортизации объектов нефинансовых активов;</w:t>
      </w:r>
    </w:p>
    <w:p w:rsidR="004D50A6" w:rsidRPr="004D50A6" w:rsidRDefault="004D50A6" w:rsidP="004D50A6">
      <w:pPr>
        <w:ind w:firstLine="708"/>
        <w:jc w:val="both"/>
        <w:rPr>
          <w:rFonts w:eastAsia="Calibri"/>
          <w:lang w:eastAsia="en-US"/>
        </w:rPr>
      </w:pPr>
      <w:r w:rsidRPr="004D50A6">
        <w:rPr>
          <w:rFonts w:eastAsia="Calibri"/>
          <w:lang w:eastAsia="en-US"/>
        </w:rPr>
        <w:t>- полное определение затрат, связанных с содержанием объектов нефинансовых активов;</w:t>
      </w:r>
    </w:p>
    <w:p w:rsidR="004D50A6" w:rsidRPr="004D50A6" w:rsidRDefault="004D50A6" w:rsidP="004D50A6">
      <w:pPr>
        <w:ind w:firstLine="708"/>
        <w:jc w:val="both"/>
        <w:rPr>
          <w:rFonts w:eastAsia="Calibri"/>
          <w:lang w:eastAsia="en-US"/>
        </w:rPr>
      </w:pPr>
      <w:r w:rsidRPr="004D50A6">
        <w:rPr>
          <w:rFonts w:eastAsia="Calibri"/>
          <w:lang w:eastAsia="en-US"/>
        </w:rPr>
        <w:t>- точное определение результатов при выбытии объектов нефинансовых активов;</w:t>
      </w:r>
    </w:p>
    <w:p w:rsidR="004D50A6" w:rsidRPr="004D50A6" w:rsidRDefault="004D50A6" w:rsidP="004D50A6">
      <w:pPr>
        <w:ind w:firstLine="708"/>
        <w:jc w:val="both"/>
        <w:rPr>
          <w:rFonts w:eastAsia="Calibri"/>
          <w:lang w:eastAsia="en-US"/>
        </w:rPr>
      </w:pPr>
      <w:r w:rsidRPr="004D50A6">
        <w:rPr>
          <w:rFonts w:eastAsia="Calibri"/>
          <w:lang w:eastAsia="en-US"/>
        </w:rPr>
        <w:t xml:space="preserve">- </w:t>
      </w:r>
      <w:proofErr w:type="gramStart"/>
      <w:r w:rsidRPr="004D50A6">
        <w:rPr>
          <w:rFonts w:eastAsia="Calibri"/>
          <w:lang w:eastAsia="en-US"/>
        </w:rPr>
        <w:t>контроль за</w:t>
      </w:r>
      <w:proofErr w:type="gramEnd"/>
      <w:r w:rsidRPr="004D50A6">
        <w:rPr>
          <w:rFonts w:eastAsia="Calibri"/>
          <w:lang w:eastAsia="en-US"/>
        </w:rPr>
        <w:t xml:space="preserve"> сохранностью и эффективностью использования объектов нефинансовых активов, принятых к бухгалтерскому учету.</w:t>
      </w:r>
    </w:p>
    <w:p w:rsidR="004D50A6" w:rsidRDefault="004D50A6" w:rsidP="00222F0A">
      <w:pPr>
        <w:ind w:firstLine="709"/>
        <w:jc w:val="both"/>
      </w:pPr>
    </w:p>
    <w:p w:rsidR="00BC19C5" w:rsidRDefault="00BC19C5" w:rsidP="0020591E">
      <w:pPr>
        <w:shd w:val="clear" w:color="auto" w:fill="FFFFFF"/>
        <w:contextualSpacing/>
        <w:jc w:val="both"/>
        <w:rPr>
          <w:spacing w:val="3"/>
        </w:rPr>
      </w:pPr>
    </w:p>
    <w:p w:rsidR="00607489" w:rsidRDefault="00607489" w:rsidP="00AB0558">
      <w:pPr>
        <w:shd w:val="clear" w:color="auto" w:fill="FFFFFF"/>
        <w:ind w:firstLine="708"/>
        <w:contextualSpacing/>
        <w:jc w:val="both"/>
      </w:pPr>
    </w:p>
    <w:p w:rsidR="00D63010" w:rsidRDefault="001A20FE" w:rsidP="001A20FE">
      <w:pPr>
        <w:ind w:firstLine="708"/>
        <w:jc w:val="center"/>
        <w:rPr>
          <w:b/>
          <w:color w:val="000000"/>
          <w:shd w:val="clear" w:color="auto" w:fill="FFFFFF"/>
        </w:rPr>
      </w:pPr>
      <w:r w:rsidRPr="001A20FE">
        <w:rPr>
          <w:b/>
          <w:color w:val="000000"/>
          <w:shd w:val="clear" w:color="auto" w:fill="FFFFFF"/>
        </w:rPr>
        <w:lastRenderedPageBreak/>
        <w:t>Раздел 3 "Анализ отчета об исполнении бюджета субъектом бюджетной отчетности"</w:t>
      </w:r>
    </w:p>
    <w:p w:rsidR="0024109D" w:rsidRDefault="0024109D" w:rsidP="001A20FE">
      <w:pPr>
        <w:ind w:firstLine="708"/>
        <w:jc w:val="center"/>
        <w:rPr>
          <w:b/>
          <w:color w:val="000000"/>
          <w:shd w:val="clear" w:color="auto" w:fill="FFFFFF"/>
        </w:rPr>
      </w:pPr>
    </w:p>
    <w:p w:rsidR="0024109D" w:rsidRPr="0024109D" w:rsidRDefault="0024109D" w:rsidP="0024109D">
      <w:pPr>
        <w:autoSpaceDE w:val="0"/>
        <w:autoSpaceDN w:val="0"/>
        <w:adjustRightInd w:val="0"/>
        <w:ind w:hanging="142"/>
        <w:jc w:val="center"/>
        <w:rPr>
          <w:b/>
        </w:rPr>
      </w:pPr>
      <w:r w:rsidRPr="0024109D">
        <w:rPr>
          <w:b/>
        </w:rPr>
        <w:t>Сведения об исполнении бюджета (ф. 0503164)</w:t>
      </w:r>
    </w:p>
    <w:p w:rsidR="0024109D" w:rsidRPr="0024109D" w:rsidRDefault="0024109D" w:rsidP="0024109D">
      <w:pPr>
        <w:autoSpaceDE w:val="0"/>
        <w:autoSpaceDN w:val="0"/>
        <w:adjustRightInd w:val="0"/>
        <w:jc w:val="center"/>
        <w:rPr>
          <w:rFonts w:eastAsia="Calibri"/>
          <w:b/>
          <w:bCs/>
          <w:i/>
          <w:u w:val="single"/>
          <w:lang w:eastAsia="en-US"/>
        </w:rPr>
      </w:pPr>
      <w:r w:rsidRPr="0024109D">
        <w:rPr>
          <w:rFonts w:eastAsia="Calibri"/>
          <w:b/>
          <w:bCs/>
          <w:i/>
          <w:u w:val="single"/>
          <w:lang w:eastAsia="en-US"/>
        </w:rPr>
        <w:t>Доходы</w:t>
      </w:r>
    </w:p>
    <w:p w:rsidR="0020591E" w:rsidRDefault="0020591E" w:rsidP="0024109D">
      <w:pPr>
        <w:ind w:firstLine="709"/>
        <w:jc w:val="center"/>
        <w:rPr>
          <w:b/>
          <w:color w:val="000000"/>
        </w:rPr>
      </w:pPr>
    </w:p>
    <w:p w:rsidR="0024109D" w:rsidRPr="0024109D" w:rsidRDefault="0024109D" w:rsidP="0024109D">
      <w:pPr>
        <w:autoSpaceDE w:val="0"/>
        <w:autoSpaceDN w:val="0"/>
        <w:adjustRightInd w:val="0"/>
        <w:ind w:firstLine="709"/>
        <w:jc w:val="both"/>
        <w:rPr>
          <w:rFonts w:eastAsia="Calibri"/>
          <w:lang w:eastAsia="en-US"/>
        </w:rPr>
      </w:pPr>
      <w:r>
        <w:rPr>
          <w:rFonts w:eastAsia="Calibri"/>
          <w:lang w:eastAsia="en-US"/>
        </w:rPr>
        <w:t>Главное управление</w:t>
      </w:r>
      <w:r w:rsidRPr="0024109D">
        <w:rPr>
          <w:rFonts w:eastAsia="Calibri"/>
          <w:lang w:eastAsia="en-US"/>
        </w:rPr>
        <w:t xml:space="preserve"> наделено бюджетными полномочиями администратора доходов федерального бюджета в соответствии с приказом МЧС России от 31.12.2018 № 670 «Об осуществлении бюджетных полномочий главного администратора (администратора) доходов  федерального бюджета территориальными органами МЧС России, федеральными государственными казенными учреждениями, находящимися в ведении МЧС России».</w:t>
      </w:r>
    </w:p>
    <w:p w:rsidR="00510FD5" w:rsidRDefault="00510FD5" w:rsidP="00510FD5">
      <w:pPr>
        <w:ind w:firstLine="708"/>
        <w:jc w:val="both"/>
      </w:pPr>
      <w:r w:rsidRPr="00510FD5">
        <w:rPr>
          <w:b/>
        </w:rPr>
        <w:t>Строка 010 «Доходы</w:t>
      </w:r>
      <w:r>
        <w:rPr>
          <w:b/>
        </w:rPr>
        <w:t xml:space="preserve"> бюджета</w:t>
      </w:r>
      <w:r w:rsidRPr="00510FD5">
        <w:rPr>
          <w:b/>
        </w:rPr>
        <w:t>»</w:t>
      </w:r>
      <w:r w:rsidRPr="000E01FE">
        <w:t xml:space="preserve"> По состоянию на 01 </w:t>
      </w:r>
      <w:r w:rsidR="0020591E">
        <w:t>января</w:t>
      </w:r>
      <w:r>
        <w:t xml:space="preserve"> </w:t>
      </w:r>
      <w:r w:rsidRPr="000E01FE">
        <w:t>20</w:t>
      </w:r>
      <w:r w:rsidR="00AB0558">
        <w:t>2</w:t>
      </w:r>
      <w:r w:rsidR="0024109D">
        <w:t>1</w:t>
      </w:r>
      <w:r w:rsidRPr="000E01FE">
        <w:t xml:space="preserve"> года </w:t>
      </w:r>
      <w:r w:rsidR="00AB0558">
        <w:t>Главным</w:t>
      </w:r>
      <w:r w:rsidR="00613A58">
        <w:t xml:space="preserve"> управлени</w:t>
      </w:r>
      <w:r w:rsidR="00AB0558">
        <w:t>ем</w:t>
      </w:r>
      <w:r w:rsidR="00613A58">
        <w:t xml:space="preserve"> МЧС России по Ненецкому автономному округу</w:t>
      </w:r>
      <w:r w:rsidRPr="000E01FE">
        <w:t xml:space="preserve"> исполнено </w:t>
      </w:r>
      <w:r w:rsidR="0024109D">
        <w:t>2 866 782,99</w:t>
      </w:r>
      <w:r>
        <w:t xml:space="preserve"> </w:t>
      </w:r>
      <w:r w:rsidRPr="000E01FE">
        <w:t>руб.</w:t>
      </w:r>
      <w:r w:rsidR="002E6AFC">
        <w:t>,</w:t>
      </w:r>
      <w:r>
        <w:t xml:space="preserve"> в т. ч.: </w:t>
      </w:r>
    </w:p>
    <w:p w:rsidR="00510FD5" w:rsidRDefault="00510FD5" w:rsidP="00510FD5">
      <w:pPr>
        <w:ind w:firstLine="708"/>
        <w:jc w:val="both"/>
      </w:pPr>
      <w:r w:rsidRPr="000E01FE">
        <w:t>Денежные средства, поступающие как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зачисляются на следующие коды доходов, по которым бюджетные назначения не были утверждены:</w:t>
      </w:r>
    </w:p>
    <w:p w:rsidR="008A5CFB" w:rsidRPr="000E01FE" w:rsidRDefault="008A5CFB" w:rsidP="00510FD5">
      <w:pPr>
        <w:ind w:firstLine="708"/>
        <w:jc w:val="both"/>
      </w:pPr>
      <w:r>
        <w:t xml:space="preserve">177 108 07081 01 0400 110 – получена </w:t>
      </w:r>
      <w:proofErr w:type="spellStart"/>
      <w:r>
        <w:t>гос</w:t>
      </w:r>
      <w:proofErr w:type="gramStart"/>
      <w:r>
        <w:t>.п</w:t>
      </w:r>
      <w:proofErr w:type="gramEnd"/>
      <w:r>
        <w:t>ошлина</w:t>
      </w:r>
      <w:proofErr w:type="spellEnd"/>
      <w:r>
        <w:t xml:space="preserve"> за совершение действий, связанных с лицензированием 7 000,00 руб.;</w:t>
      </w:r>
    </w:p>
    <w:p w:rsidR="00897CAB" w:rsidRPr="000E01FE" w:rsidRDefault="00510FD5" w:rsidP="00575B14">
      <w:pPr>
        <w:ind w:firstLine="708"/>
        <w:jc w:val="both"/>
      </w:pPr>
      <w:r w:rsidRPr="000E01FE">
        <w:t xml:space="preserve">177 108 07081 01 0900 110 – получена государственная пошлина за выдачу аттестата, свидетельства, подтверждающего уровень квалификации </w:t>
      </w:r>
      <w:r w:rsidR="00613A58">
        <w:t xml:space="preserve"> </w:t>
      </w:r>
      <w:r w:rsidR="008A5CFB">
        <w:t>240 110</w:t>
      </w:r>
      <w:r>
        <w:t>,</w:t>
      </w:r>
      <w:r w:rsidRPr="000E01FE">
        <w:t>00 руб.;</w:t>
      </w:r>
    </w:p>
    <w:p w:rsidR="00510FD5" w:rsidRDefault="00510FD5" w:rsidP="00510FD5">
      <w:pPr>
        <w:ind w:firstLine="708"/>
        <w:jc w:val="both"/>
      </w:pPr>
      <w:r w:rsidRPr="000E01FE">
        <w:t xml:space="preserve">177 108 07081 01 0940 110 – получена государственная пошлина за внесение изменений в аттестат, свидетельство, </w:t>
      </w:r>
      <w:proofErr w:type="gramStart"/>
      <w:r w:rsidRPr="000E01FE">
        <w:t>подтверждающего</w:t>
      </w:r>
      <w:proofErr w:type="gramEnd"/>
      <w:r w:rsidRPr="000E01FE">
        <w:t xml:space="preserve"> уровень квалификации, в связи с его утерей  </w:t>
      </w:r>
      <w:r w:rsidR="008A5CFB">
        <w:t>19 110</w:t>
      </w:r>
      <w:r w:rsidRPr="000E01FE">
        <w:t>,00 руб.;</w:t>
      </w:r>
    </w:p>
    <w:p w:rsidR="00510FD5" w:rsidRDefault="00510FD5" w:rsidP="00510FD5">
      <w:pPr>
        <w:ind w:firstLine="708"/>
        <w:jc w:val="both"/>
      </w:pPr>
      <w:r w:rsidRPr="000E01FE">
        <w:t>177 108 07081 01 09</w:t>
      </w:r>
      <w:r>
        <w:t>7</w:t>
      </w:r>
      <w:r w:rsidRPr="000E01FE">
        <w:t>0 110</w:t>
      </w:r>
      <w:r>
        <w:t xml:space="preserve"> –</w:t>
      </w:r>
      <w:r w:rsidRPr="009E7CD5">
        <w:t xml:space="preserve"> </w:t>
      </w:r>
      <w:r w:rsidRPr="000E01FE">
        <w:t xml:space="preserve">получена государственная пошлина за </w:t>
      </w:r>
      <w:r>
        <w:t xml:space="preserve">замену удостоверения на право управления </w:t>
      </w:r>
      <w:r w:rsidR="004026D5">
        <w:t>маломерным</w:t>
      </w:r>
      <w:r>
        <w:t xml:space="preserve"> судном </w:t>
      </w:r>
      <w:r w:rsidR="000E2031">
        <w:t xml:space="preserve"> </w:t>
      </w:r>
      <w:r w:rsidR="008A5CFB">
        <w:t>71 405</w:t>
      </w:r>
      <w:r>
        <w:t>,00 руб.</w:t>
      </w:r>
    </w:p>
    <w:p w:rsidR="00510FD5" w:rsidRDefault="00510FD5" w:rsidP="00510FD5">
      <w:pPr>
        <w:ind w:firstLine="708"/>
        <w:jc w:val="both"/>
      </w:pPr>
      <w:r w:rsidRPr="000E01FE">
        <w:t>Денежные средства, поступающие как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зачисляются на следующие коды доходов, по которым бюджетные назначения не были утверждены:</w:t>
      </w:r>
    </w:p>
    <w:p w:rsidR="00AB0558" w:rsidRDefault="00AB0558" w:rsidP="00510FD5">
      <w:pPr>
        <w:ind w:firstLine="708"/>
        <w:jc w:val="both"/>
      </w:pPr>
      <w:r>
        <w:t xml:space="preserve">177 108 07072 01 0300 110 </w:t>
      </w:r>
      <w:r w:rsidR="00C83D74">
        <w:t>–</w:t>
      </w:r>
      <w:r>
        <w:t xml:space="preserve"> </w:t>
      </w:r>
      <w:r w:rsidR="00C83D74">
        <w:t>получена государственная пошлина за</w:t>
      </w:r>
      <w:r w:rsidR="0024109D">
        <w:t xml:space="preserve"> регистрацию в реестре судов РФ 364 440,00 </w:t>
      </w:r>
      <w:proofErr w:type="spellStart"/>
      <w:r w:rsidR="0024109D">
        <w:t>руб</w:t>
      </w:r>
      <w:proofErr w:type="spellEnd"/>
      <w:r w:rsidR="0024109D">
        <w:t>;</w:t>
      </w:r>
    </w:p>
    <w:p w:rsidR="00510FD5" w:rsidRDefault="00510FD5" w:rsidP="00510FD5">
      <w:pPr>
        <w:ind w:firstLine="708"/>
        <w:jc w:val="both"/>
      </w:pPr>
      <w:r>
        <w:t xml:space="preserve">177 108 07072 01 0400 110 – получена </w:t>
      </w:r>
      <w:r w:rsidRPr="00AC03B2">
        <w:t>государственная пошлина за регистрацию изменений в реестре судов РФ</w:t>
      </w:r>
      <w:r>
        <w:t xml:space="preserve"> </w:t>
      </w:r>
      <w:r w:rsidR="00CB04AA">
        <w:t>2</w:t>
      </w:r>
      <w:r w:rsidR="0024109D">
        <w:t>1</w:t>
      </w:r>
      <w:r w:rsidR="00CB04AA">
        <w:t xml:space="preserve"> </w:t>
      </w:r>
      <w:r w:rsidR="0024109D">
        <w:t>80</w:t>
      </w:r>
      <w:r w:rsidR="00CB04AA">
        <w:t>0</w:t>
      </w:r>
      <w:r>
        <w:t>,00 руб.;</w:t>
      </w:r>
    </w:p>
    <w:p w:rsidR="0024109D" w:rsidRDefault="0024109D" w:rsidP="00510FD5">
      <w:pPr>
        <w:ind w:firstLine="708"/>
        <w:jc w:val="both"/>
      </w:pPr>
      <w:r>
        <w:t xml:space="preserve">177 108 07072 01 0500 110 – государственная пошлина за </w:t>
      </w:r>
      <w:proofErr w:type="spellStart"/>
      <w:r>
        <w:t>государственню</w:t>
      </w:r>
      <w:proofErr w:type="spellEnd"/>
      <w:r>
        <w:t xml:space="preserve"> регистрацию маломерных судов, за выдачу судового билета 560,00 руб.;</w:t>
      </w:r>
    </w:p>
    <w:p w:rsidR="00510FD5" w:rsidRDefault="00510FD5" w:rsidP="00510FD5">
      <w:pPr>
        <w:ind w:firstLine="708"/>
        <w:jc w:val="both"/>
      </w:pPr>
      <w:r>
        <w:t xml:space="preserve">177 108 07072 01 0600 110 – получена </w:t>
      </w:r>
      <w:r w:rsidRPr="00D83ED1">
        <w:t>государственная пошлина за выдачу судовых документов</w:t>
      </w:r>
      <w:r>
        <w:t xml:space="preserve"> </w:t>
      </w:r>
      <w:r w:rsidR="0024109D">
        <w:t>50 080</w:t>
      </w:r>
      <w:r>
        <w:t>,00 руб.;</w:t>
      </w:r>
    </w:p>
    <w:p w:rsidR="00510FD5" w:rsidRDefault="00510FD5" w:rsidP="00510FD5">
      <w:pPr>
        <w:ind w:firstLine="708"/>
        <w:jc w:val="both"/>
      </w:pPr>
      <w:r>
        <w:lastRenderedPageBreak/>
        <w:t xml:space="preserve">177 108 07072 01 0700 110 – получена </w:t>
      </w:r>
      <w:r w:rsidRPr="00D83ED1">
        <w:t>государственная пошлина</w:t>
      </w:r>
      <w:r>
        <w:t xml:space="preserve"> </w:t>
      </w:r>
      <w:r w:rsidRPr="00D83ED1">
        <w:t>за выдачу дубликата судового документа взамен утраченного</w:t>
      </w:r>
      <w:r>
        <w:t xml:space="preserve"> </w:t>
      </w:r>
      <w:r w:rsidR="0024109D">
        <w:t>4 600</w:t>
      </w:r>
      <w:r w:rsidR="0020591E">
        <w:t>,00</w:t>
      </w:r>
      <w:r w:rsidR="00CB04AA">
        <w:t xml:space="preserve"> </w:t>
      </w:r>
      <w:proofErr w:type="spellStart"/>
      <w:r w:rsidR="00CB04AA">
        <w:t>руб</w:t>
      </w:r>
      <w:proofErr w:type="spellEnd"/>
      <w:r w:rsidR="00CB04AA">
        <w:t>;</w:t>
      </w:r>
    </w:p>
    <w:p w:rsidR="00510FD5" w:rsidRDefault="00510FD5" w:rsidP="008A5CFB">
      <w:pPr>
        <w:ind w:firstLine="708"/>
        <w:jc w:val="both"/>
      </w:pPr>
      <w:r>
        <w:t xml:space="preserve">177 113 02991  01 6000 130 – </w:t>
      </w:r>
      <w:r w:rsidR="008A5CFB">
        <w:t>1 632 389,31</w:t>
      </w:r>
      <w:r>
        <w:t xml:space="preserve"> руб. - </w:t>
      </w:r>
      <w:r w:rsidR="00A87215">
        <w:t>п</w:t>
      </w:r>
      <w:r w:rsidRPr="00C66EE0">
        <w:t>олучены денежные средства в счет погашения дебиторской  задолженности прошлых лет, за переплат</w:t>
      </w:r>
      <w:r w:rsidR="007857E8">
        <w:t>у</w:t>
      </w:r>
      <w:r w:rsidRPr="00C66EE0">
        <w:t xml:space="preserve"> денежных </w:t>
      </w:r>
      <w:r w:rsidR="00A87215">
        <w:t>средств;</w:t>
      </w:r>
    </w:p>
    <w:p w:rsidR="008A5CFB" w:rsidRDefault="008A5CFB" w:rsidP="008A5CFB">
      <w:pPr>
        <w:ind w:firstLine="708"/>
        <w:jc w:val="both"/>
      </w:pPr>
      <w:r>
        <w:t>177 116 01111 01 9000 140 получена сумма административных штрафов установленные Главой 11 Кодекса РФ за административные нарушения на транспорте 85 638,80 руб.;</w:t>
      </w:r>
    </w:p>
    <w:p w:rsidR="008A5CFB" w:rsidRDefault="008A5CFB" w:rsidP="008A5CFB">
      <w:pPr>
        <w:ind w:firstLine="708"/>
        <w:jc w:val="both"/>
      </w:pPr>
      <w:r>
        <w:t xml:space="preserve">177 116 01191 01 00005 140 - получена сумма административных штрафов установленные Главой 19 Кодекса РФ за административные нарушения </w:t>
      </w:r>
      <w:r w:rsidR="00424CA3">
        <w:t>против порядка</w:t>
      </w:r>
      <w:r>
        <w:t xml:space="preserve"> </w:t>
      </w:r>
      <w:r w:rsidR="00424CA3">
        <w:t>291 800,00</w:t>
      </w:r>
      <w:r>
        <w:t xml:space="preserve"> руб.;</w:t>
      </w:r>
    </w:p>
    <w:p w:rsidR="008A5CFB" w:rsidRDefault="008A5CFB" w:rsidP="008A5CFB">
      <w:pPr>
        <w:ind w:firstLine="708"/>
        <w:jc w:val="both"/>
      </w:pPr>
    </w:p>
    <w:p w:rsidR="008A5CFB" w:rsidRDefault="008A5CFB" w:rsidP="008A5CFB">
      <w:pPr>
        <w:ind w:firstLine="708"/>
        <w:jc w:val="both"/>
      </w:pPr>
      <w:r>
        <w:t xml:space="preserve">177 116 01201 01 00004 140 получена сумма административных штрафов установленные Главой 20 Кодекса РФ за нарушения требований пожарной безопасности </w:t>
      </w:r>
      <w:r w:rsidR="00424CA3">
        <w:t>76 000,00 руб.</w:t>
      </w:r>
    </w:p>
    <w:p w:rsidR="008A5CFB" w:rsidRDefault="008A5CFB" w:rsidP="008A5CFB">
      <w:pPr>
        <w:ind w:firstLine="708"/>
        <w:jc w:val="both"/>
      </w:pPr>
    </w:p>
    <w:p w:rsidR="0065443B" w:rsidRDefault="00A87215" w:rsidP="00510FD5">
      <w:pPr>
        <w:ind w:firstLine="708"/>
        <w:jc w:val="both"/>
      </w:pPr>
      <w:r>
        <w:rPr>
          <w:b/>
        </w:rPr>
        <w:t>Строка 200</w:t>
      </w:r>
      <w:r w:rsidRPr="00510FD5">
        <w:rPr>
          <w:b/>
        </w:rPr>
        <w:t xml:space="preserve"> «</w:t>
      </w:r>
      <w:r>
        <w:rPr>
          <w:b/>
        </w:rPr>
        <w:t>Расходы бюджета</w:t>
      </w:r>
      <w:r w:rsidRPr="00510FD5">
        <w:rPr>
          <w:b/>
        </w:rPr>
        <w:t>»</w:t>
      </w:r>
      <w:r w:rsidRPr="000E01FE">
        <w:t xml:space="preserve"> </w:t>
      </w:r>
      <w:r w:rsidR="00510FD5">
        <w:t>п</w:t>
      </w:r>
      <w:r w:rsidR="00510FD5" w:rsidRPr="000E01FE">
        <w:t xml:space="preserve">о состоянию на 01 </w:t>
      </w:r>
      <w:r w:rsidR="008729AB">
        <w:t>января</w:t>
      </w:r>
      <w:r w:rsidR="00510FD5">
        <w:t xml:space="preserve"> </w:t>
      </w:r>
      <w:r w:rsidR="00510FD5" w:rsidRPr="000E01FE">
        <w:t>20</w:t>
      </w:r>
      <w:r w:rsidR="00CB04AA">
        <w:t>2</w:t>
      </w:r>
      <w:r w:rsidR="00424CA3">
        <w:t>1</w:t>
      </w:r>
      <w:r w:rsidR="00510FD5" w:rsidRPr="000E01FE">
        <w:t xml:space="preserve"> года </w:t>
      </w:r>
      <w:r w:rsidR="00E033DF">
        <w:t>Главному управлению МЧС России по Ненецкому автономному округу</w:t>
      </w:r>
      <w:r w:rsidR="00510FD5" w:rsidRPr="000E01FE">
        <w:t xml:space="preserve"> утверждено бюджетных назначений по расходам на сумму </w:t>
      </w:r>
      <w:r w:rsidR="00424CA3">
        <w:t>205 194 371,30</w:t>
      </w:r>
      <w:r w:rsidR="00510FD5" w:rsidRPr="000E01FE">
        <w:t xml:space="preserve"> руб., исполнено </w:t>
      </w:r>
      <w:r w:rsidR="00424CA3">
        <w:t>205 050 215,52</w:t>
      </w:r>
      <w:r w:rsidR="00510FD5" w:rsidRPr="000E01FE">
        <w:t xml:space="preserve"> руб., (</w:t>
      </w:r>
      <w:r w:rsidR="00CB04AA">
        <w:t>99,</w:t>
      </w:r>
      <w:r w:rsidR="00424CA3">
        <w:t>92</w:t>
      </w:r>
      <w:r w:rsidR="00510FD5" w:rsidRPr="000E01FE">
        <w:t xml:space="preserve">%). </w:t>
      </w:r>
    </w:p>
    <w:p w:rsidR="008729AB" w:rsidRDefault="008729AB" w:rsidP="003A3E73">
      <w:pPr>
        <w:jc w:val="center"/>
        <w:rPr>
          <w:b/>
        </w:rPr>
      </w:pPr>
    </w:p>
    <w:p w:rsidR="003A3E73" w:rsidRPr="003A3E73" w:rsidRDefault="003A3E73" w:rsidP="003A3E73">
      <w:pPr>
        <w:jc w:val="center"/>
        <w:rPr>
          <w:b/>
        </w:rPr>
      </w:pPr>
      <w:r w:rsidRPr="003A3E73">
        <w:rPr>
          <w:b/>
        </w:rPr>
        <w:t xml:space="preserve">Сведения о суммах заключенных контрактов (договоров), </w:t>
      </w:r>
    </w:p>
    <w:p w:rsidR="003A3E73" w:rsidRPr="003A3E73" w:rsidRDefault="003A3E73" w:rsidP="003A3E73">
      <w:pPr>
        <w:jc w:val="center"/>
        <w:rPr>
          <w:b/>
          <w:vertAlign w:val="superscript"/>
        </w:rPr>
      </w:pPr>
      <w:proofErr w:type="gramStart"/>
      <w:r w:rsidRPr="003A3E73">
        <w:rPr>
          <w:b/>
        </w:rPr>
        <w:t>пр</w:t>
      </w:r>
      <w:r w:rsidR="00CB04AA">
        <w:rPr>
          <w:b/>
        </w:rPr>
        <w:t>едусмотренных</w:t>
      </w:r>
      <w:proofErr w:type="gramEnd"/>
      <w:r w:rsidR="00CB04AA">
        <w:rPr>
          <w:b/>
        </w:rPr>
        <w:t xml:space="preserve"> к исполнению в 20</w:t>
      </w:r>
      <w:r w:rsidR="00424CA3">
        <w:rPr>
          <w:b/>
        </w:rPr>
        <w:t>20</w:t>
      </w:r>
      <w:r w:rsidRPr="003A3E73">
        <w:rPr>
          <w:b/>
        </w:rPr>
        <w:t xml:space="preserve"> году</w:t>
      </w:r>
    </w:p>
    <w:p w:rsidR="0076670F" w:rsidRDefault="0076670F" w:rsidP="001073C7">
      <w:pPr>
        <w:pStyle w:val="a3"/>
        <w:ind w:firstLine="540"/>
        <w:jc w:val="both"/>
      </w:pPr>
    </w:p>
    <w:p w:rsidR="00921E24" w:rsidRDefault="001073C7" w:rsidP="00F96BD9">
      <w:pPr>
        <w:pStyle w:val="a3"/>
        <w:ind w:firstLine="708"/>
        <w:jc w:val="both"/>
        <w:rPr>
          <w:sz w:val="28"/>
          <w:szCs w:val="28"/>
        </w:rPr>
      </w:pPr>
      <w:r w:rsidRPr="00C331D4">
        <w:rPr>
          <w:sz w:val="28"/>
          <w:szCs w:val="28"/>
        </w:rPr>
        <w:t xml:space="preserve">На обеспечение деятельности </w:t>
      </w:r>
      <w:r w:rsidR="00E033DF">
        <w:rPr>
          <w:sz w:val="28"/>
          <w:szCs w:val="28"/>
        </w:rPr>
        <w:t>Главного управления</w:t>
      </w:r>
      <w:r w:rsidRPr="00C331D4">
        <w:rPr>
          <w:sz w:val="28"/>
          <w:szCs w:val="28"/>
        </w:rPr>
        <w:t xml:space="preserve">, </w:t>
      </w:r>
      <w:r w:rsidR="00B77D96">
        <w:rPr>
          <w:sz w:val="28"/>
          <w:szCs w:val="28"/>
        </w:rPr>
        <w:t xml:space="preserve">по состоянию на 01 </w:t>
      </w:r>
      <w:r w:rsidR="008729AB">
        <w:rPr>
          <w:sz w:val="28"/>
          <w:szCs w:val="28"/>
        </w:rPr>
        <w:t>января</w:t>
      </w:r>
      <w:r w:rsidR="00B77D96">
        <w:rPr>
          <w:sz w:val="28"/>
          <w:szCs w:val="28"/>
        </w:rPr>
        <w:t xml:space="preserve"> 20</w:t>
      </w:r>
      <w:r w:rsidR="00CB04AA">
        <w:rPr>
          <w:sz w:val="28"/>
          <w:szCs w:val="28"/>
        </w:rPr>
        <w:t>2</w:t>
      </w:r>
      <w:r w:rsidR="00424CA3">
        <w:rPr>
          <w:sz w:val="28"/>
          <w:szCs w:val="28"/>
        </w:rPr>
        <w:t>1</w:t>
      </w:r>
      <w:r w:rsidR="00A81A6E">
        <w:rPr>
          <w:sz w:val="28"/>
          <w:szCs w:val="28"/>
        </w:rPr>
        <w:t xml:space="preserve"> года</w:t>
      </w:r>
      <w:r w:rsidRPr="00C331D4">
        <w:rPr>
          <w:sz w:val="28"/>
          <w:szCs w:val="28"/>
        </w:rPr>
        <w:t xml:space="preserve"> было утверждено бюджетных назначений</w:t>
      </w:r>
      <w:r w:rsidR="00A81A6E">
        <w:rPr>
          <w:sz w:val="28"/>
          <w:szCs w:val="28"/>
        </w:rPr>
        <w:t xml:space="preserve">  </w:t>
      </w:r>
      <w:r w:rsidR="00424CA3">
        <w:rPr>
          <w:sz w:val="28"/>
          <w:szCs w:val="28"/>
        </w:rPr>
        <w:t>205 194 371,30</w:t>
      </w:r>
      <w:r w:rsidR="00144307" w:rsidRPr="000E01FE">
        <w:t xml:space="preserve"> </w:t>
      </w:r>
      <w:r>
        <w:rPr>
          <w:sz w:val="28"/>
          <w:szCs w:val="28"/>
        </w:rPr>
        <w:t xml:space="preserve"> тыс. </w:t>
      </w:r>
      <w:r w:rsidRPr="00C331D4">
        <w:rPr>
          <w:sz w:val="28"/>
          <w:szCs w:val="28"/>
        </w:rPr>
        <w:t>руб</w:t>
      </w:r>
      <w:r>
        <w:rPr>
          <w:sz w:val="28"/>
          <w:szCs w:val="28"/>
        </w:rPr>
        <w:t>.</w:t>
      </w:r>
      <w:r w:rsidR="00B1562F">
        <w:rPr>
          <w:sz w:val="28"/>
          <w:szCs w:val="28"/>
        </w:rPr>
        <w:t>,</w:t>
      </w:r>
      <w:r w:rsidR="00921E24">
        <w:rPr>
          <w:sz w:val="28"/>
          <w:szCs w:val="28"/>
        </w:rPr>
        <w:t xml:space="preserve"> из них:</w:t>
      </w:r>
      <w:r w:rsidR="00B1562F">
        <w:rPr>
          <w:sz w:val="28"/>
          <w:szCs w:val="28"/>
        </w:rPr>
        <w:t xml:space="preserve"> </w:t>
      </w:r>
    </w:p>
    <w:p w:rsidR="00031A59" w:rsidRPr="00F264BB" w:rsidRDefault="00B1562F" w:rsidP="00F96BD9">
      <w:pPr>
        <w:pStyle w:val="a3"/>
        <w:ind w:firstLine="708"/>
        <w:jc w:val="both"/>
        <w:rPr>
          <w:sz w:val="28"/>
          <w:szCs w:val="28"/>
        </w:rPr>
      </w:pPr>
      <w:r w:rsidRPr="00484D1E">
        <w:rPr>
          <w:b/>
          <w:sz w:val="28"/>
          <w:szCs w:val="28"/>
        </w:rPr>
        <w:t>п</w:t>
      </w:r>
      <w:r w:rsidR="00AB61A6" w:rsidRPr="00484D1E">
        <w:rPr>
          <w:b/>
          <w:sz w:val="28"/>
          <w:szCs w:val="28"/>
        </w:rPr>
        <w:t>о коду вида расходов 200</w:t>
      </w:r>
      <w:r w:rsidR="00AB61A6">
        <w:rPr>
          <w:sz w:val="28"/>
          <w:szCs w:val="28"/>
        </w:rPr>
        <w:t xml:space="preserve"> </w:t>
      </w:r>
      <w:r>
        <w:rPr>
          <w:sz w:val="28"/>
          <w:szCs w:val="28"/>
        </w:rPr>
        <w:t xml:space="preserve">было утверждено </w:t>
      </w:r>
      <w:r w:rsidRPr="00C331D4">
        <w:rPr>
          <w:sz w:val="28"/>
          <w:szCs w:val="28"/>
        </w:rPr>
        <w:t xml:space="preserve">бюджетных назначений </w:t>
      </w:r>
      <w:r w:rsidR="00424CA3">
        <w:rPr>
          <w:sz w:val="28"/>
          <w:szCs w:val="28"/>
        </w:rPr>
        <w:t>11 712 713,31</w:t>
      </w:r>
      <w:r>
        <w:rPr>
          <w:sz w:val="28"/>
          <w:szCs w:val="28"/>
        </w:rPr>
        <w:t xml:space="preserve"> руб. </w:t>
      </w:r>
      <w:r w:rsidR="00AB61A6">
        <w:rPr>
          <w:sz w:val="28"/>
          <w:szCs w:val="28"/>
        </w:rPr>
        <w:t xml:space="preserve">сумма </w:t>
      </w:r>
      <w:r w:rsidR="00F33AFE">
        <w:rPr>
          <w:sz w:val="28"/>
          <w:szCs w:val="28"/>
        </w:rPr>
        <w:t>контрактации  составил</w:t>
      </w:r>
      <w:r w:rsidR="00CD7B00">
        <w:rPr>
          <w:sz w:val="28"/>
          <w:szCs w:val="28"/>
        </w:rPr>
        <w:t>а</w:t>
      </w:r>
      <w:r w:rsidR="00F33AFE">
        <w:rPr>
          <w:sz w:val="28"/>
          <w:szCs w:val="28"/>
        </w:rPr>
        <w:t xml:space="preserve"> </w:t>
      </w:r>
      <w:r w:rsidR="00424CA3">
        <w:rPr>
          <w:sz w:val="28"/>
          <w:szCs w:val="28"/>
        </w:rPr>
        <w:t>11 712 713,31</w:t>
      </w:r>
      <w:r w:rsidR="00F33AFE">
        <w:rPr>
          <w:sz w:val="28"/>
          <w:szCs w:val="28"/>
        </w:rPr>
        <w:t xml:space="preserve"> тыс. руб.,</w:t>
      </w:r>
      <w:r>
        <w:rPr>
          <w:sz w:val="28"/>
          <w:szCs w:val="28"/>
        </w:rPr>
        <w:t xml:space="preserve"> что составляет </w:t>
      </w:r>
      <w:r w:rsidR="008729AB">
        <w:rPr>
          <w:sz w:val="28"/>
          <w:szCs w:val="28"/>
        </w:rPr>
        <w:t>100</w:t>
      </w:r>
      <w:r>
        <w:rPr>
          <w:sz w:val="28"/>
          <w:szCs w:val="28"/>
        </w:rPr>
        <w:t>%.</w:t>
      </w:r>
      <w:r w:rsidR="00F33AFE">
        <w:rPr>
          <w:sz w:val="28"/>
          <w:szCs w:val="28"/>
        </w:rPr>
        <w:t xml:space="preserve"> </w:t>
      </w:r>
    </w:p>
    <w:p w:rsidR="00AC0A52" w:rsidRDefault="002246DC" w:rsidP="00D96990">
      <w:pPr>
        <w:pStyle w:val="a3"/>
        <w:ind w:firstLine="540"/>
        <w:jc w:val="both"/>
        <w:rPr>
          <w:sz w:val="28"/>
          <w:szCs w:val="28"/>
        </w:rPr>
      </w:pPr>
      <w:r w:rsidRPr="003A3E73">
        <w:rPr>
          <w:b/>
          <w:sz w:val="28"/>
          <w:szCs w:val="28"/>
        </w:rPr>
        <w:t>-242</w:t>
      </w:r>
      <w:r w:rsidRPr="003A3E73">
        <w:rPr>
          <w:sz w:val="28"/>
          <w:szCs w:val="28"/>
        </w:rPr>
        <w:t xml:space="preserve">  выделены лимиты  </w:t>
      </w:r>
      <w:r w:rsidR="00424CA3">
        <w:rPr>
          <w:sz w:val="28"/>
          <w:szCs w:val="28"/>
        </w:rPr>
        <w:t>1 049 000</w:t>
      </w:r>
      <w:r w:rsidR="00CB04AA">
        <w:rPr>
          <w:sz w:val="28"/>
          <w:szCs w:val="28"/>
        </w:rPr>
        <w:t>,00</w:t>
      </w:r>
      <w:r w:rsidR="00047619" w:rsidRPr="003A3E73">
        <w:rPr>
          <w:sz w:val="28"/>
          <w:szCs w:val="28"/>
        </w:rPr>
        <w:t xml:space="preserve"> </w:t>
      </w:r>
      <w:r w:rsidRPr="003A3E73">
        <w:rPr>
          <w:sz w:val="28"/>
          <w:szCs w:val="28"/>
        </w:rPr>
        <w:t>руб.</w:t>
      </w:r>
      <w:r w:rsidR="00A04E49">
        <w:rPr>
          <w:sz w:val="28"/>
          <w:szCs w:val="28"/>
        </w:rPr>
        <w:t>,</w:t>
      </w:r>
      <w:r w:rsidRPr="003A3E73">
        <w:rPr>
          <w:sz w:val="28"/>
          <w:szCs w:val="28"/>
        </w:rPr>
        <w:t xml:space="preserve"> законтрактовано  </w:t>
      </w:r>
      <w:r w:rsidR="00424CA3">
        <w:rPr>
          <w:sz w:val="28"/>
          <w:szCs w:val="28"/>
        </w:rPr>
        <w:t>1 049 000</w:t>
      </w:r>
      <w:r w:rsidR="00CB04AA">
        <w:rPr>
          <w:sz w:val="28"/>
          <w:szCs w:val="28"/>
        </w:rPr>
        <w:t>,00</w:t>
      </w:r>
      <w:r w:rsidR="00621C8D">
        <w:rPr>
          <w:sz w:val="28"/>
          <w:szCs w:val="28"/>
        </w:rPr>
        <w:t xml:space="preserve"> </w:t>
      </w:r>
      <w:r w:rsidRPr="003A3E73">
        <w:rPr>
          <w:sz w:val="28"/>
          <w:szCs w:val="28"/>
        </w:rPr>
        <w:t xml:space="preserve">руб., </w:t>
      </w:r>
      <w:r w:rsidR="00AC0A52">
        <w:rPr>
          <w:sz w:val="28"/>
          <w:szCs w:val="28"/>
        </w:rPr>
        <w:t>что составляет</w:t>
      </w:r>
      <w:r w:rsidRPr="003A3E73">
        <w:rPr>
          <w:sz w:val="28"/>
          <w:szCs w:val="28"/>
        </w:rPr>
        <w:t xml:space="preserve"> </w:t>
      </w:r>
      <w:r w:rsidR="008729AB">
        <w:rPr>
          <w:sz w:val="28"/>
          <w:szCs w:val="28"/>
        </w:rPr>
        <w:t>100</w:t>
      </w:r>
      <w:r w:rsidR="00621C8D">
        <w:rPr>
          <w:sz w:val="28"/>
          <w:szCs w:val="28"/>
        </w:rPr>
        <w:t>%</w:t>
      </w:r>
      <w:r w:rsidR="003A726E">
        <w:rPr>
          <w:sz w:val="28"/>
          <w:szCs w:val="28"/>
        </w:rPr>
        <w:t>.. В 20</w:t>
      </w:r>
      <w:r w:rsidR="00424CA3">
        <w:rPr>
          <w:sz w:val="28"/>
          <w:szCs w:val="28"/>
        </w:rPr>
        <w:t>20</w:t>
      </w:r>
      <w:r w:rsidR="003A726E">
        <w:rPr>
          <w:sz w:val="28"/>
          <w:szCs w:val="28"/>
        </w:rPr>
        <w:t xml:space="preserve"> году были заключены контракты на услуги связи, Интернет, оказание консультационных услуг </w:t>
      </w:r>
      <w:proofErr w:type="spellStart"/>
      <w:r w:rsidR="003A726E">
        <w:rPr>
          <w:sz w:val="28"/>
          <w:szCs w:val="28"/>
        </w:rPr>
        <w:t>КонсультантПлюс</w:t>
      </w:r>
      <w:proofErr w:type="spellEnd"/>
      <w:r w:rsidR="003A726E">
        <w:rPr>
          <w:sz w:val="28"/>
          <w:szCs w:val="28"/>
        </w:rPr>
        <w:t xml:space="preserve">, приобретение и заправку картриджей, приобретение </w:t>
      </w:r>
      <w:r w:rsidR="00424CA3">
        <w:rPr>
          <w:sz w:val="28"/>
          <w:szCs w:val="28"/>
        </w:rPr>
        <w:t>МФУ</w:t>
      </w:r>
      <w:r w:rsidR="003A726E">
        <w:rPr>
          <w:sz w:val="28"/>
          <w:szCs w:val="28"/>
        </w:rPr>
        <w:t>.</w:t>
      </w:r>
    </w:p>
    <w:p w:rsidR="002246DC" w:rsidRDefault="001F1382" w:rsidP="00D96990">
      <w:pPr>
        <w:pStyle w:val="a3"/>
        <w:ind w:firstLine="540"/>
        <w:jc w:val="both"/>
        <w:rPr>
          <w:sz w:val="28"/>
          <w:szCs w:val="28"/>
        </w:rPr>
      </w:pPr>
      <w:proofErr w:type="gramStart"/>
      <w:r w:rsidRPr="003A3E73">
        <w:rPr>
          <w:sz w:val="28"/>
          <w:szCs w:val="28"/>
        </w:rPr>
        <w:t>-</w:t>
      </w:r>
      <w:r w:rsidRPr="003A3E73">
        <w:rPr>
          <w:b/>
          <w:sz w:val="28"/>
          <w:szCs w:val="28"/>
        </w:rPr>
        <w:t>244</w:t>
      </w:r>
      <w:r w:rsidRPr="003A3E73">
        <w:rPr>
          <w:sz w:val="28"/>
          <w:szCs w:val="28"/>
        </w:rPr>
        <w:t xml:space="preserve">  выделены лимиты  </w:t>
      </w:r>
      <w:r w:rsidR="00424CA3">
        <w:rPr>
          <w:sz w:val="28"/>
          <w:szCs w:val="28"/>
        </w:rPr>
        <w:t>10 641 922,58</w:t>
      </w:r>
      <w:r w:rsidR="000D51C7">
        <w:rPr>
          <w:sz w:val="28"/>
          <w:szCs w:val="28"/>
        </w:rPr>
        <w:t xml:space="preserve"> </w:t>
      </w:r>
      <w:r w:rsidRPr="003A3E73">
        <w:rPr>
          <w:sz w:val="28"/>
          <w:szCs w:val="28"/>
        </w:rPr>
        <w:t>руб.</w:t>
      </w:r>
      <w:r w:rsidR="00A04E49">
        <w:rPr>
          <w:sz w:val="28"/>
          <w:szCs w:val="28"/>
        </w:rPr>
        <w:t>,</w:t>
      </w:r>
      <w:r w:rsidRPr="003A3E73">
        <w:rPr>
          <w:sz w:val="28"/>
          <w:szCs w:val="28"/>
        </w:rPr>
        <w:t xml:space="preserve"> законтрактовано  </w:t>
      </w:r>
      <w:r w:rsidR="00424CA3">
        <w:rPr>
          <w:sz w:val="28"/>
          <w:szCs w:val="28"/>
        </w:rPr>
        <w:t>10 641 922,58</w:t>
      </w:r>
      <w:r w:rsidR="000D51C7">
        <w:rPr>
          <w:sz w:val="28"/>
          <w:szCs w:val="28"/>
        </w:rPr>
        <w:t xml:space="preserve"> </w:t>
      </w:r>
      <w:r w:rsidRPr="003A3E73">
        <w:rPr>
          <w:sz w:val="28"/>
          <w:szCs w:val="28"/>
        </w:rPr>
        <w:t xml:space="preserve">руб., </w:t>
      </w:r>
      <w:r w:rsidR="00AC0A52">
        <w:rPr>
          <w:sz w:val="28"/>
          <w:szCs w:val="28"/>
        </w:rPr>
        <w:t>что составляет</w:t>
      </w:r>
      <w:r w:rsidRPr="003A3E73">
        <w:rPr>
          <w:sz w:val="28"/>
          <w:szCs w:val="28"/>
        </w:rPr>
        <w:t xml:space="preserve"> </w:t>
      </w:r>
      <w:r w:rsidR="008729AB">
        <w:rPr>
          <w:sz w:val="28"/>
          <w:szCs w:val="28"/>
        </w:rPr>
        <w:t>100</w:t>
      </w:r>
      <w:r w:rsidRPr="003A3E73">
        <w:rPr>
          <w:sz w:val="28"/>
          <w:szCs w:val="28"/>
        </w:rPr>
        <w:t xml:space="preserve"> % </w:t>
      </w:r>
      <w:r w:rsidR="00AC0A52">
        <w:rPr>
          <w:sz w:val="28"/>
          <w:szCs w:val="28"/>
        </w:rPr>
        <w:t xml:space="preserve">. </w:t>
      </w:r>
      <w:r w:rsidR="003A726E">
        <w:rPr>
          <w:sz w:val="28"/>
          <w:szCs w:val="28"/>
        </w:rPr>
        <w:t>Были заключены контракты на оплату коммунальных услуг (поставка природного газа, оплата электроэнергии, поставка тепловой энергии), приобретение канцелярских и хозяйственных товаров, ГСМ, запасных частей для автомобильной техники, ремонт и обслуживание автомобильной техники, услуги по обеспечению горячим питанием, медицинские услуги, приобретение вещевого имущества.</w:t>
      </w:r>
      <w:proofErr w:type="gramEnd"/>
    </w:p>
    <w:p w:rsidR="00DA4384" w:rsidRDefault="00DA4384" w:rsidP="00D96990">
      <w:pPr>
        <w:pStyle w:val="a3"/>
        <w:ind w:firstLine="540"/>
        <w:jc w:val="both"/>
        <w:rPr>
          <w:sz w:val="28"/>
          <w:szCs w:val="28"/>
        </w:rPr>
      </w:pPr>
      <w:r>
        <w:rPr>
          <w:sz w:val="28"/>
          <w:szCs w:val="28"/>
        </w:rPr>
        <w:tab/>
        <w:t xml:space="preserve">Кассовый расход по 200 виду расходов составил 11 558 557,53 </w:t>
      </w:r>
      <w:proofErr w:type="spellStart"/>
      <w:r>
        <w:rPr>
          <w:sz w:val="28"/>
          <w:szCs w:val="28"/>
        </w:rPr>
        <w:t>руб</w:t>
      </w:r>
      <w:proofErr w:type="spellEnd"/>
      <w:r>
        <w:rPr>
          <w:sz w:val="28"/>
          <w:szCs w:val="28"/>
        </w:rPr>
        <w:t xml:space="preserve">, что составляет 98,68% от выделенных лимитов в связи с тем, что </w:t>
      </w:r>
      <w:r w:rsidR="00914517">
        <w:rPr>
          <w:sz w:val="28"/>
          <w:szCs w:val="28"/>
        </w:rPr>
        <w:t>при расторжении государственных контрактов произошла с</w:t>
      </w:r>
      <w:r w:rsidR="00914517" w:rsidRPr="00914517">
        <w:rPr>
          <w:sz w:val="28"/>
          <w:szCs w:val="28"/>
        </w:rPr>
        <w:t xml:space="preserve">истемная ошибка </w:t>
      </w:r>
      <w:r w:rsidR="00914517" w:rsidRPr="00914517">
        <w:rPr>
          <w:sz w:val="28"/>
          <w:szCs w:val="28"/>
        </w:rPr>
        <w:lastRenderedPageBreak/>
        <w:t>ЕИС. Номера обращений  в техническую поддержку ЕИС: DS-412527 от 25.12.2020; DS-412570 от 25.12.2020; DS-411468 от 24.12.2020; DS-411031; DS-411603 от 24.12.2020; DS-409051 от 22.12.2020; DS-406942 от 21.12.2020; DS-405234 от 17.12.2020; DS-403899 от 16.12.2020</w:t>
      </w:r>
    </w:p>
    <w:p w:rsidR="00F00990" w:rsidRDefault="00F00990" w:rsidP="001B250D">
      <w:pPr>
        <w:pStyle w:val="a8"/>
        <w:jc w:val="center"/>
        <w:rPr>
          <w:b/>
        </w:rPr>
      </w:pPr>
    </w:p>
    <w:tbl>
      <w:tblPr>
        <w:tblW w:w="9369" w:type="dxa"/>
        <w:tblInd w:w="95" w:type="dxa"/>
        <w:tblLook w:val="04A0" w:firstRow="1" w:lastRow="0" w:firstColumn="1" w:lastColumn="0" w:noHBand="0" w:noVBand="1"/>
      </w:tblPr>
      <w:tblGrid>
        <w:gridCol w:w="9369"/>
      </w:tblGrid>
      <w:tr w:rsidR="007751C9" w:rsidRPr="007751C9" w:rsidTr="00E80F91">
        <w:trPr>
          <w:trHeight w:val="300"/>
        </w:trPr>
        <w:tc>
          <w:tcPr>
            <w:tcW w:w="9369" w:type="dxa"/>
            <w:tcBorders>
              <w:top w:val="nil"/>
              <w:left w:val="nil"/>
              <w:bottom w:val="nil"/>
              <w:right w:val="nil"/>
            </w:tcBorders>
            <w:shd w:val="clear" w:color="auto" w:fill="auto"/>
            <w:noWrap/>
            <w:vAlign w:val="bottom"/>
            <w:hideMark/>
          </w:tcPr>
          <w:p w:rsidR="00DC3664" w:rsidRPr="007751C9" w:rsidRDefault="001B250D" w:rsidP="00F06069">
            <w:pPr>
              <w:jc w:val="center"/>
              <w:rPr>
                <w:bCs/>
              </w:rPr>
            </w:pPr>
            <w:r w:rsidRPr="001B250D">
              <w:rPr>
                <w:b/>
              </w:rPr>
              <w:t>Раздел 4 "Анализ показателей бухгалтерской отчетности субъекта бюджетной отчетности"</w:t>
            </w:r>
          </w:p>
        </w:tc>
      </w:tr>
      <w:tr w:rsidR="007751C9" w:rsidRPr="007751C9" w:rsidTr="00E8652A">
        <w:trPr>
          <w:trHeight w:val="70"/>
        </w:trPr>
        <w:tc>
          <w:tcPr>
            <w:tcW w:w="9369" w:type="dxa"/>
            <w:tcBorders>
              <w:top w:val="nil"/>
              <w:left w:val="nil"/>
              <w:bottom w:val="nil"/>
              <w:right w:val="nil"/>
            </w:tcBorders>
            <w:shd w:val="clear" w:color="auto" w:fill="auto"/>
            <w:noWrap/>
            <w:vAlign w:val="bottom"/>
            <w:hideMark/>
          </w:tcPr>
          <w:p w:rsidR="007751C9" w:rsidRPr="007751C9" w:rsidRDefault="007751C9" w:rsidP="007751C9">
            <w:pPr>
              <w:rPr>
                <w:bCs/>
              </w:rPr>
            </w:pPr>
          </w:p>
        </w:tc>
      </w:tr>
      <w:tr w:rsidR="007751C9" w:rsidRPr="007751C9" w:rsidTr="00E8652A">
        <w:trPr>
          <w:trHeight w:val="70"/>
        </w:trPr>
        <w:tc>
          <w:tcPr>
            <w:tcW w:w="9369" w:type="dxa"/>
            <w:tcBorders>
              <w:top w:val="nil"/>
              <w:left w:val="nil"/>
              <w:bottom w:val="nil"/>
              <w:right w:val="nil"/>
            </w:tcBorders>
            <w:shd w:val="clear" w:color="auto" w:fill="auto"/>
            <w:noWrap/>
            <w:vAlign w:val="bottom"/>
            <w:hideMark/>
          </w:tcPr>
          <w:p w:rsidR="007751C9" w:rsidRPr="007751C9" w:rsidRDefault="007751C9" w:rsidP="007751C9">
            <w:pPr>
              <w:rPr>
                <w:bCs/>
              </w:rPr>
            </w:pPr>
          </w:p>
        </w:tc>
      </w:tr>
      <w:tr w:rsidR="007751C9" w:rsidRPr="007751C9" w:rsidTr="00F06069">
        <w:trPr>
          <w:trHeight w:val="225"/>
        </w:trPr>
        <w:tc>
          <w:tcPr>
            <w:tcW w:w="9369" w:type="dxa"/>
            <w:tcBorders>
              <w:top w:val="nil"/>
              <w:left w:val="nil"/>
              <w:bottom w:val="nil"/>
              <w:right w:val="nil"/>
            </w:tcBorders>
            <w:shd w:val="clear" w:color="auto" w:fill="auto"/>
            <w:noWrap/>
            <w:vAlign w:val="bottom"/>
          </w:tcPr>
          <w:p w:rsidR="001F2B14" w:rsidRPr="007751C9" w:rsidRDefault="001F2B14" w:rsidP="001F2B14">
            <w:pPr>
              <w:jc w:val="both"/>
              <w:rPr>
                <w:bCs/>
              </w:rPr>
            </w:pPr>
          </w:p>
        </w:tc>
      </w:tr>
      <w:tr w:rsidR="00E80F91" w:rsidRPr="007751C9" w:rsidTr="00E80F91">
        <w:trPr>
          <w:trHeight w:val="225"/>
        </w:trPr>
        <w:tc>
          <w:tcPr>
            <w:tcW w:w="9369" w:type="dxa"/>
            <w:tcBorders>
              <w:top w:val="nil"/>
              <w:left w:val="nil"/>
              <w:bottom w:val="nil"/>
              <w:right w:val="nil"/>
            </w:tcBorders>
            <w:shd w:val="clear" w:color="auto" w:fill="auto"/>
            <w:noWrap/>
            <w:vAlign w:val="bottom"/>
          </w:tcPr>
          <w:p w:rsidR="00F21E1C" w:rsidRDefault="00F21E1C" w:rsidP="00035007">
            <w:pPr>
              <w:jc w:val="both"/>
              <w:rPr>
                <w:bCs/>
              </w:rPr>
            </w:pPr>
          </w:p>
        </w:tc>
      </w:tr>
      <w:tr w:rsidR="00F00990" w:rsidRPr="007751C9" w:rsidTr="00E80F91">
        <w:trPr>
          <w:trHeight w:val="225"/>
        </w:trPr>
        <w:tc>
          <w:tcPr>
            <w:tcW w:w="9369" w:type="dxa"/>
            <w:tcBorders>
              <w:top w:val="nil"/>
              <w:left w:val="nil"/>
              <w:bottom w:val="nil"/>
              <w:right w:val="nil"/>
            </w:tcBorders>
            <w:shd w:val="clear" w:color="auto" w:fill="auto"/>
            <w:noWrap/>
            <w:vAlign w:val="bottom"/>
          </w:tcPr>
          <w:p w:rsidR="0059668A" w:rsidRDefault="0059668A" w:rsidP="00F21E1C">
            <w:pPr>
              <w:jc w:val="both"/>
              <w:rPr>
                <w:bCs/>
              </w:rPr>
            </w:pPr>
          </w:p>
        </w:tc>
      </w:tr>
      <w:tr w:rsidR="00F21E1C" w:rsidRPr="007751C9" w:rsidTr="00E80F91">
        <w:trPr>
          <w:trHeight w:val="225"/>
        </w:trPr>
        <w:tc>
          <w:tcPr>
            <w:tcW w:w="9369" w:type="dxa"/>
            <w:tcBorders>
              <w:top w:val="nil"/>
              <w:left w:val="nil"/>
              <w:bottom w:val="nil"/>
              <w:right w:val="nil"/>
            </w:tcBorders>
            <w:shd w:val="clear" w:color="auto" w:fill="auto"/>
            <w:noWrap/>
            <w:vAlign w:val="bottom"/>
          </w:tcPr>
          <w:p w:rsidR="00B767BA" w:rsidRDefault="00B767BA" w:rsidP="00F134E6">
            <w:pPr>
              <w:jc w:val="both"/>
              <w:rPr>
                <w:bCs/>
              </w:rPr>
            </w:pPr>
          </w:p>
        </w:tc>
      </w:tr>
      <w:tr w:rsidR="00B2722A" w:rsidRPr="007751C9" w:rsidTr="00E80F91">
        <w:trPr>
          <w:trHeight w:val="225"/>
        </w:trPr>
        <w:tc>
          <w:tcPr>
            <w:tcW w:w="9369" w:type="dxa"/>
            <w:tcBorders>
              <w:top w:val="nil"/>
              <w:left w:val="nil"/>
              <w:bottom w:val="nil"/>
              <w:right w:val="nil"/>
            </w:tcBorders>
            <w:shd w:val="clear" w:color="auto" w:fill="auto"/>
            <w:noWrap/>
            <w:vAlign w:val="bottom"/>
          </w:tcPr>
          <w:p w:rsidR="00B2722A" w:rsidRDefault="00B2722A" w:rsidP="00B767BA">
            <w:pPr>
              <w:rPr>
                <w:bCs/>
              </w:rPr>
            </w:pPr>
          </w:p>
        </w:tc>
      </w:tr>
    </w:tbl>
    <w:p w:rsidR="00140F30" w:rsidRDefault="00140F30" w:rsidP="00F06069">
      <w:pPr>
        <w:pStyle w:val="a3"/>
        <w:jc w:val="center"/>
        <w:rPr>
          <w:b/>
          <w:sz w:val="28"/>
          <w:szCs w:val="28"/>
          <w:u w:val="single"/>
        </w:rPr>
      </w:pPr>
      <w:r>
        <w:rPr>
          <w:sz w:val="28"/>
          <w:szCs w:val="28"/>
        </w:rPr>
        <w:t xml:space="preserve">Сведения о движении нефинансовых активов </w:t>
      </w:r>
      <w:r w:rsidRPr="00F134E6">
        <w:rPr>
          <w:b/>
          <w:sz w:val="28"/>
          <w:szCs w:val="28"/>
          <w:u w:val="single"/>
        </w:rPr>
        <w:t>ф. 0503168</w:t>
      </w:r>
      <w:r w:rsidR="00F06069">
        <w:rPr>
          <w:b/>
          <w:sz w:val="28"/>
          <w:szCs w:val="28"/>
          <w:u w:val="single"/>
        </w:rPr>
        <w:t xml:space="preserve"> </w:t>
      </w:r>
    </w:p>
    <w:p w:rsidR="00F06069" w:rsidRPr="00F06069" w:rsidRDefault="00F06069" w:rsidP="00F06069">
      <w:pPr>
        <w:spacing w:after="200" w:line="276" w:lineRule="auto"/>
        <w:jc w:val="center"/>
        <w:rPr>
          <w:b/>
          <w:bCs/>
          <w:i/>
        </w:rPr>
      </w:pPr>
      <w:r w:rsidRPr="00F06069">
        <w:rPr>
          <w:rFonts w:eastAsia="Calibri"/>
          <w:b/>
          <w:i/>
          <w:lang w:eastAsia="en-US"/>
        </w:rPr>
        <w:t>По счету 110631000 «</w:t>
      </w:r>
      <w:r w:rsidRPr="00F06069">
        <w:rPr>
          <w:b/>
          <w:bCs/>
          <w:i/>
        </w:rPr>
        <w:t>Вложения в основные средства – иное движимое имущество»</w:t>
      </w:r>
    </w:p>
    <w:p w:rsidR="00F06069" w:rsidRPr="00F06069" w:rsidRDefault="00F06069" w:rsidP="00106380">
      <w:pPr>
        <w:ind w:firstLine="709"/>
        <w:jc w:val="both"/>
        <w:rPr>
          <w:bCs/>
        </w:rPr>
      </w:pPr>
      <w:r>
        <w:rPr>
          <w:bCs/>
        </w:rPr>
        <w:t>В 2020</w:t>
      </w:r>
      <w:r w:rsidRPr="00F06069">
        <w:rPr>
          <w:bCs/>
        </w:rPr>
        <w:t xml:space="preserve"> году поступления по заключенным государственным контрактам по счету составили </w:t>
      </w:r>
      <w:r>
        <w:rPr>
          <w:bCs/>
        </w:rPr>
        <w:t>597 018,53 рублей, получено по извещениям основных средств на сумму 15 438 175,71 руб.</w:t>
      </w:r>
    </w:p>
    <w:p w:rsidR="00F06069" w:rsidRDefault="00F06069" w:rsidP="00225EF7">
      <w:pPr>
        <w:ind w:firstLine="708"/>
        <w:jc w:val="both"/>
        <w:rPr>
          <w:bCs/>
        </w:rPr>
      </w:pPr>
      <w:r w:rsidRPr="00F06069">
        <w:rPr>
          <w:rFonts w:eastAsia="Calibri"/>
          <w:bCs/>
          <w:lang w:eastAsia="en-US"/>
        </w:rPr>
        <w:t>Выбытие за 20</w:t>
      </w:r>
      <w:r w:rsidR="00106380">
        <w:rPr>
          <w:rFonts w:eastAsia="Calibri"/>
          <w:bCs/>
          <w:lang w:eastAsia="en-US"/>
        </w:rPr>
        <w:t>20</w:t>
      </w:r>
      <w:r w:rsidRPr="00F06069">
        <w:rPr>
          <w:rFonts w:eastAsia="Calibri"/>
          <w:bCs/>
          <w:lang w:eastAsia="en-US"/>
        </w:rPr>
        <w:t xml:space="preserve"> по счету составили </w:t>
      </w:r>
      <w:r w:rsidR="00225EF7">
        <w:rPr>
          <w:bCs/>
        </w:rPr>
        <w:t>16 035 194,24 рублей.</w:t>
      </w:r>
    </w:p>
    <w:p w:rsidR="00225EF7" w:rsidRDefault="00225EF7" w:rsidP="00225EF7">
      <w:pPr>
        <w:spacing w:after="200"/>
        <w:ind w:firstLine="709"/>
        <w:jc w:val="center"/>
        <w:rPr>
          <w:rFonts w:eastAsia="Calibri"/>
          <w:b/>
          <w:i/>
          <w:lang w:eastAsia="en-US"/>
        </w:rPr>
      </w:pPr>
    </w:p>
    <w:p w:rsidR="001B250D" w:rsidRDefault="001B250D" w:rsidP="001B250D">
      <w:pPr>
        <w:pStyle w:val="a8"/>
        <w:jc w:val="center"/>
        <w:rPr>
          <w:b/>
        </w:rPr>
      </w:pPr>
    </w:p>
    <w:p w:rsidR="000A0D96" w:rsidRDefault="000A0D96" w:rsidP="001D48F6">
      <w:pPr>
        <w:shd w:val="clear" w:color="auto" w:fill="FFFFFF"/>
        <w:ind w:firstLine="708"/>
        <w:contextualSpacing/>
        <w:jc w:val="center"/>
        <w:rPr>
          <w:b/>
          <w:u w:val="single"/>
        </w:rPr>
      </w:pPr>
      <w:r>
        <w:t xml:space="preserve">Сведения о дебиторской и кредиторской задолженности приведены в </w:t>
      </w:r>
      <w:r w:rsidRPr="00F063C8">
        <w:rPr>
          <w:b/>
          <w:u w:val="single"/>
        </w:rPr>
        <w:t>ф.0503169</w:t>
      </w:r>
      <w:r w:rsidR="00DF4219">
        <w:rPr>
          <w:b/>
          <w:u w:val="single"/>
        </w:rPr>
        <w:t>.</w:t>
      </w:r>
    </w:p>
    <w:p w:rsidR="00AF39A2" w:rsidRDefault="00F21E1C" w:rsidP="0008694B">
      <w:pPr>
        <w:shd w:val="clear" w:color="auto" w:fill="FFFFFF"/>
        <w:ind w:firstLine="708"/>
        <w:contextualSpacing/>
        <w:jc w:val="both"/>
      </w:pPr>
      <w:r w:rsidRPr="00F21E1C">
        <w:t>По со</w:t>
      </w:r>
      <w:r w:rsidR="00EF78FE">
        <w:t>стоянию на 01.01.202</w:t>
      </w:r>
      <w:r w:rsidR="00225EF7">
        <w:t>1</w:t>
      </w:r>
      <w:r>
        <w:t xml:space="preserve"> года </w:t>
      </w:r>
      <w:r w:rsidR="00125058">
        <w:t>сложилась</w:t>
      </w:r>
      <w:r>
        <w:t xml:space="preserve"> дебиторская задолженность на сумму </w:t>
      </w:r>
      <w:r w:rsidR="00125058">
        <w:t>1 386 258,14</w:t>
      </w:r>
      <w:r>
        <w:t xml:space="preserve"> руб. </w:t>
      </w:r>
      <w:r w:rsidR="00AF39A2">
        <w:t xml:space="preserve">в </w:t>
      </w:r>
      <w:proofErr w:type="spellStart"/>
      <w:r w:rsidR="00AF39A2">
        <w:t>т.ч</w:t>
      </w:r>
      <w:proofErr w:type="spellEnd"/>
      <w:r w:rsidR="00AF39A2">
        <w:t>. по счету:</w:t>
      </w:r>
    </w:p>
    <w:p w:rsidR="00AF39A2" w:rsidRDefault="00AF39A2" w:rsidP="0008694B">
      <w:pPr>
        <w:shd w:val="clear" w:color="auto" w:fill="FFFFFF"/>
        <w:ind w:firstLine="708"/>
        <w:contextualSpacing/>
        <w:jc w:val="both"/>
      </w:pPr>
      <w:r>
        <w:t xml:space="preserve">- 177.03091020190049.122.120812000 создан резерв командировочных расходов на реагирование на чрезвычайные ситуации в новогодние праздники, согласно приказу НГУ в сумме </w:t>
      </w:r>
      <w:r w:rsidR="00125058">
        <w:t>356 186,30</w:t>
      </w:r>
      <w:r>
        <w:t xml:space="preserve"> </w:t>
      </w:r>
      <w:proofErr w:type="spellStart"/>
      <w:r>
        <w:t>руб</w:t>
      </w:r>
      <w:proofErr w:type="spellEnd"/>
      <w:r>
        <w:t>;</w:t>
      </w:r>
    </w:p>
    <w:p w:rsidR="008C379B" w:rsidRDefault="008C379B" w:rsidP="0008694B">
      <w:pPr>
        <w:shd w:val="clear" w:color="auto" w:fill="FFFFFF"/>
        <w:ind w:firstLine="708"/>
        <w:contextualSpacing/>
        <w:jc w:val="both"/>
      </w:pPr>
      <w:r>
        <w:t>- 177.03</w:t>
      </w:r>
      <w:r w:rsidR="00125058">
        <w:t>10</w:t>
      </w:r>
      <w:r>
        <w:t xml:space="preserve">.1020190049.134.1.20812000 создан резерв командировочных расходов на реагирование на чрезвычайные ситуации в новогодние праздники, согласно приказу НГУ в сумме </w:t>
      </w:r>
      <w:r w:rsidR="00125058">
        <w:t>454 571,94</w:t>
      </w:r>
      <w:r>
        <w:t xml:space="preserve"> руб.;</w:t>
      </w:r>
    </w:p>
    <w:p w:rsidR="008C379B" w:rsidRDefault="008C379B" w:rsidP="0008694B">
      <w:pPr>
        <w:shd w:val="clear" w:color="auto" w:fill="FFFFFF"/>
        <w:ind w:firstLine="708"/>
        <w:contextualSpacing/>
        <w:jc w:val="both"/>
      </w:pPr>
      <w:r>
        <w:t>- 177.03</w:t>
      </w:r>
      <w:r w:rsidR="00125058">
        <w:t>10</w:t>
      </w:r>
      <w:r>
        <w:t>.1020193970.134.120814000 выданы денежные средства в подотчет сотрудник</w:t>
      </w:r>
      <w:r w:rsidR="00125058">
        <w:t>ам</w:t>
      </w:r>
      <w:r>
        <w:t xml:space="preserve"> на проезд к месту проведения отпуска и обратно в сумме </w:t>
      </w:r>
      <w:r w:rsidR="00125058">
        <w:t>121 091,32</w:t>
      </w:r>
      <w:r>
        <w:t xml:space="preserve"> руб.</w:t>
      </w:r>
    </w:p>
    <w:p w:rsidR="00125058" w:rsidRDefault="00125058" w:rsidP="0008694B">
      <w:pPr>
        <w:shd w:val="clear" w:color="auto" w:fill="FFFFFF"/>
        <w:ind w:firstLine="708"/>
        <w:contextualSpacing/>
        <w:jc w:val="both"/>
      </w:pPr>
      <w:r>
        <w:t>-177.0309.1020193987.122.120814000 выданы денежные средства в подотчет на проезд к месту проведения отпуска и обратно работникам МЧС в сумме 177 983,55 руб.;</w:t>
      </w:r>
    </w:p>
    <w:p w:rsidR="00125058" w:rsidRDefault="00125058" w:rsidP="00125058">
      <w:pPr>
        <w:shd w:val="clear" w:color="auto" w:fill="FFFFFF"/>
        <w:ind w:firstLine="708"/>
        <w:contextualSpacing/>
        <w:jc w:val="both"/>
      </w:pPr>
      <w:r>
        <w:t>-177.0310.1020193987.122.120814000 выданы денежные средства в подотчет на проезд к месту проведения отпуска и обратно работникам ФПС в сумме 28 229,00 руб.;</w:t>
      </w:r>
    </w:p>
    <w:p w:rsidR="00125058" w:rsidRDefault="00125058" w:rsidP="0008694B">
      <w:pPr>
        <w:shd w:val="clear" w:color="auto" w:fill="FFFFFF"/>
        <w:ind w:firstLine="708"/>
        <w:contextualSpacing/>
        <w:jc w:val="both"/>
      </w:pPr>
    </w:p>
    <w:p w:rsidR="00F21E1C" w:rsidRDefault="008C379B" w:rsidP="0008694B">
      <w:pPr>
        <w:shd w:val="clear" w:color="auto" w:fill="FFFFFF"/>
        <w:ind w:firstLine="708"/>
        <w:contextualSpacing/>
        <w:jc w:val="both"/>
      </w:pPr>
      <w:r>
        <w:t xml:space="preserve"> </w:t>
      </w:r>
      <w:r w:rsidR="00AF39A2">
        <w:t xml:space="preserve"> </w:t>
      </w:r>
      <w:r w:rsidR="00F21E1C">
        <w:t>По состоянию на 01.01.20</w:t>
      </w:r>
      <w:r>
        <w:t>2</w:t>
      </w:r>
      <w:r w:rsidR="00BE0BC3">
        <w:t>1</w:t>
      </w:r>
      <w:r w:rsidR="00F21E1C">
        <w:t xml:space="preserve"> года кредиторская задолженность составля</w:t>
      </w:r>
      <w:r w:rsidR="004D73AA">
        <w:t>ет</w:t>
      </w:r>
      <w:r w:rsidR="00F21E1C">
        <w:t xml:space="preserve"> </w:t>
      </w:r>
      <w:r w:rsidR="00BE0BC3">
        <w:t>11 755,00</w:t>
      </w:r>
      <w:r>
        <w:t xml:space="preserve"> руб. по счету 177.03</w:t>
      </w:r>
      <w:r w:rsidR="00BE0BC3">
        <w:t>10</w:t>
      </w:r>
      <w:r>
        <w:t>.1020190049.134.120814000</w:t>
      </w:r>
      <w:r w:rsidR="00F21E1C">
        <w:t>.</w:t>
      </w:r>
      <w:r>
        <w:t xml:space="preserve"> Денежные средства были выданы сотруднику на проезд к месту проведения </w:t>
      </w:r>
      <w:r>
        <w:lastRenderedPageBreak/>
        <w:t>отпуска и обратно. Авансовый отчет по произведе</w:t>
      </w:r>
      <w:r w:rsidR="00BE0BC3">
        <w:t>нным расходам был сдан 31.12.2020</w:t>
      </w:r>
      <w:r w:rsidR="00F21E1C">
        <w:t xml:space="preserve"> </w:t>
      </w:r>
      <w:r>
        <w:t>по выходу сотрудника из отпуска.</w:t>
      </w:r>
    </w:p>
    <w:p w:rsidR="00BE0BC3" w:rsidRDefault="00BE0BC3" w:rsidP="00BE0BC3">
      <w:pPr>
        <w:ind w:firstLine="708"/>
        <w:jc w:val="both"/>
        <w:rPr>
          <w:rFonts w:eastAsia="Calibri"/>
          <w:lang w:eastAsia="en-US"/>
        </w:rPr>
      </w:pPr>
      <w:r>
        <w:rPr>
          <w:rFonts w:eastAsia="Calibri"/>
          <w:lang w:eastAsia="en-US"/>
        </w:rPr>
        <w:t>П</w:t>
      </w:r>
      <w:r w:rsidRPr="00BE0BC3">
        <w:rPr>
          <w:rFonts w:eastAsia="Calibri"/>
          <w:lang w:eastAsia="en-US"/>
        </w:rPr>
        <w:t xml:space="preserve">о счету 1 401 60 000 «Резервы предстоящих расходов» в размере </w:t>
      </w:r>
      <w:r>
        <w:rPr>
          <w:rFonts w:eastAsia="Calibri"/>
          <w:lang w:eastAsia="en-US"/>
        </w:rPr>
        <w:t>130 200,00</w:t>
      </w:r>
      <w:r w:rsidRPr="00BE0BC3">
        <w:rPr>
          <w:rFonts w:eastAsia="Calibri"/>
          <w:lang w:eastAsia="en-US"/>
        </w:rPr>
        <w:t xml:space="preserve"> рублей – резерв отпусков на 202</w:t>
      </w:r>
      <w:r>
        <w:rPr>
          <w:rFonts w:eastAsia="Calibri"/>
          <w:lang w:eastAsia="en-US"/>
        </w:rPr>
        <w:t>1</w:t>
      </w:r>
      <w:r w:rsidRPr="00BE0BC3">
        <w:rPr>
          <w:rFonts w:eastAsia="Calibri"/>
          <w:lang w:eastAsia="en-US"/>
        </w:rPr>
        <w:t xml:space="preserve"> год.</w:t>
      </w:r>
    </w:p>
    <w:p w:rsidR="002011DA" w:rsidRPr="00BE0BC3" w:rsidRDefault="002011DA" w:rsidP="00BE0BC3">
      <w:pPr>
        <w:ind w:firstLine="708"/>
        <w:jc w:val="both"/>
        <w:rPr>
          <w:rFonts w:eastAsia="Calibri"/>
          <w:lang w:eastAsia="en-US"/>
        </w:rPr>
      </w:pPr>
    </w:p>
    <w:p w:rsidR="002011DA" w:rsidRPr="002011DA" w:rsidRDefault="00B05638" w:rsidP="002011DA">
      <w:pPr>
        <w:jc w:val="center"/>
        <w:rPr>
          <w:rFonts w:eastAsia="Calibri"/>
          <w:b/>
          <w:lang w:eastAsia="en-US"/>
        </w:rPr>
      </w:pPr>
      <w:r w:rsidRPr="0095457A">
        <w:rPr>
          <w:color w:val="FF0000"/>
        </w:rPr>
        <w:tab/>
      </w:r>
      <w:r w:rsidR="002011DA" w:rsidRPr="002011DA">
        <w:rPr>
          <w:rFonts w:eastAsia="Calibri"/>
          <w:b/>
          <w:lang w:eastAsia="en-US"/>
        </w:rPr>
        <w:t>Сведения об изменении остатков валюты баланса (ф. 0503173)</w:t>
      </w:r>
    </w:p>
    <w:p w:rsidR="002011DA" w:rsidRPr="002011DA" w:rsidRDefault="002011DA" w:rsidP="002011DA">
      <w:pPr>
        <w:jc w:val="center"/>
        <w:rPr>
          <w:rFonts w:eastAsia="Calibri"/>
          <w:b/>
          <w:lang w:eastAsia="en-US"/>
        </w:rPr>
      </w:pPr>
    </w:p>
    <w:p w:rsidR="008C379B" w:rsidRDefault="002011DA" w:rsidP="002011DA">
      <w:pPr>
        <w:suppressAutoHyphens/>
        <w:jc w:val="both"/>
        <w:rPr>
          <w:rFonts w:eastAsia="Calibri"/>
          <w:lang w:eastAsia="en-US"/>
        </w:rPr>
      </w:pPr>
      <w:r w:rsidRPr="002011DA">
        <w:rPr>
          <w:rFonts w:eastAsia="Calibri"/>
          <w:lang w:eastAsia="en-US"/>
        </w:rPr>
        <w:t>Показатели для отражения в ф. 0503173 отсутствуют.</w:t>
      </w:r>
    </w:p>
    <w:p w:rsidR="002011DA" w:rsidRDefault="002011DA" w:rsidP="002011DA">
      <w:pPr>
        <w:suppressAutoHyphens/>
        <w:jc w:val="both"/>
        <w:rPr>
          <w:color w:val="FF0000"/>
        </w:rPr>
      </w:pPr>
    </w:p>
    <w:p w:rsidR="002011DA" w:rsidRPr="002011DA" w:rsidRDefault="002011DA" w:rsidP="002011DA">
      <w:pPr>
        <w:jc w:val="center"/>
        <w:rPr>
          <w:rFonts w:eastAsia="Calibri"/>
          <w:b/>
          <w:lang w:eastAsia="en-US"/>
        </w:rPr>
      </w:pPr>
      <w:r w:rsidRPr="002011DA">
        <w:rPr>
          <w:rFonts w:eastAsia="Calibri"/>
          <w:b/>
          <w:lang w:eastAsia="en-US"/>
        </w:rPr>
        <w:t xml:space="preserve">Сведения о принятых и неисполненных обязательствах </w:t>
      </w:r>
    </w:p>
    <w:p w:rsidR="002011DA" w:rsidRDefault="002011DA" w:rsidP="002011DA">
      <w:pPr>
        <w:jc w:val="center"/>
        <w:rPr>
          <w:rFonts w:eastAsia="Calibri"/>
          <w:b/>
          <w:lang w:eastAsia="en-US"/>
        </w:rPr>
      </w:pPr>
      <w:r w:rsidRPr="002011DA">
        <w:rPr>
          <w:rFonts w:eastAsia="Calibri"/>
          <w:b/>
          <w:lang w:eastAsia="en-US"/>
        </w:rPr>
        <w:t>получателя бюджетных средств (ф. 0503175)</w:t>
      </w:r>
    </w:p>
    <w:p w:rsidR="002011DA" w:rsidRPr="002011DA" w:rsidRDefault="002011DA" w:rsidP="002011DA">
      <w:pPr>
        <w:jc w:val="center"/>
        <w:rPr>
          <w:rFonts w:eastAsia="Calibri"/>
          <w:b/>
          <w:lang w:eastAsia="en-US"/>
        </w:rPr>
      </w:pPr>
    </w:p>
    <w:p w:rsidR="002011DA" w:rsidRDefault="002011DA" w:rsidP="002011DA">
      <w:pPr>
        <w:ind w:firstLine="709"/>
        <w:jc w:val="both"/>
        <w:rPr>
          <w:rFonts w:eastAsia="Calibri"/>
          <w:lang w:eastAsia="en-US"/>
        </w:rPr>
      </w:pPr>
      <w:r w:rsidRPr="002011DA">
        <w:rPr>
          <w:rFonts w:eastAsia="Calibri"/>
          <w:lang w:eastAsia="en-US"/>
        </w:rPr>
        <w:t>По состоянию на 01.01.202</w:t>
      </w:r>
      <w:r>
        <w:rPr>
          <w:rFonts w:eastAsia="Calibri"/>
          <w:lang w:eastAsia="en-US"/>
        </w:rPr>
        <w:t>1</w:t>
      </w:r>
      <w:r w:rsidRPr="002011DA">
        <w:rPr>
          <w:rFonts w:eastAsia="Calibri"/>
          <w:lang w:eastAsia="en-US"/>
        </w:rPr>
        <w:t xml:space="preserve"> разделы 1 и 2 ф. 0503175 не подлежат заполнению</w:t>
      </w:r>
      <w:r>
        <w:rPr>
          <w:rFonts w:eastAsia="Calibri"/>
          <w:lang w:eastAsia="en-US"/>
        </w:rPr>
        <w:t xml:space="preserve">. </w:t>
      </w:r>
      <w:r w:rsidRPr="002011DA">
        <w:rPr>
          <w:rFonts w:eastAsia="Calibri"/>
          <w:lang w:eastAsia="en-US"/>
        </w:rPr>
        <w:t xml:space="preserve">Принятые бюджетные и денежные обязательства, неисполненные на конец отчетного года, по которым по условиям контрактов (НПА) допустима оплата в следующем году, </w:t>
      </w:r>
      <w:r>
        <w:rPr>
          <w:rFonts w:eastAsia="Calibri"/>
          <w:lang w:eastAsia="en-US"/>
        </w:rPr>
        <w:t xml:space="preserve">отражены в разделе 3 ф. 0503128: </w:t>
      </w:r>
    </w:p>
    <w:p w:rsidR="002011DA" w:rsidRDefault="002011DA" w:rsidP="002011DA">
      <w:pPr>
        <w:ind w:firstLine="709"/>
        <w:jc w:val="both"/>
        <w:rPr>
          <w:rFonts w:eastAsia="Calibri"/>
          <w:lang w:eastAsia="en-US"/>
        </w:rPr>
      </w:pPr>
      <w:r>
        <w:rPr>
          <w:rFonts w:eastAsia="Calibri"/>
          <w:lang w:eastAsia="en-US"/>
        </w:rPr>
        <w:t xml:space="preserve">по КБК 177.0310.1020193970.134 приняты бюджетные обязательства в сумме 11 755,00 руб. по авансовому отчету сотрудника. </w:t>
      </w:r>
    </w:p>
    <w:p w:rsidR="002011DA" w:rsidRDefault="002011DA" w:rsidP="002011DA">
      <w:pPr>
        <w:ind w:firstLine="709"/>
        <w:jc w:val="both"/>
        <w:rPr>
          <w:rFonts w:eastAsia="Calibri"/>
          <w:lang w:eastAsia="en-US"/>
        </w:rPr>
      </w:pPr>
      <w:r>
        <w:rPr>
          <w:rFonts w:eastAsia="Calibri"/>
          <w:lang w:eastAsia="en-US"/>
        </w:rPr>
        <w:t>В разделе 4 отражены сведения об экономии при заключении гос. контрактов с применением конкурентным способом. Всего было заключено 42 гос. контракта на сумму 5 329 096,33 руб.</w:t>
      </w:r>
    </w:p>
    <w:p w:rsidR="002011DA" w:rsidRPr="002011DA" w:rsidRDefault="002011DA" w:rsidP="002011DA">
      <w:pPr>
        <w:ind w:firstLine="709"/>
        <w:jc w:val="both"/>
        <w:rPr>
          <w:rFonts w:eastAsia="Calibri"/>
          <w:lang w:eastAsia="en-US"/>
        </w:rPr>
      </w:pPr>
    </w:p>
    <w:p w:rsidR="002011DA" w:rsidRDefault="002011DA" w:rsidP="002011DA">
      <w:pPr>
        <w:jc w:val="center"/>
        <w:rPr>
          <w:rFonts w:eastAsia="Calibri"/>
          <w:b/>
          <w:lang w:eastAsia="en-US"/>
        </w:rPr>
      </w:pPr>
      <w:r w:rsidRPr="002011DA">
        <w:rPr>
          <w:rFonts w:eastAsia="Calibri"/>
          <w:b/>
          <w:lang w:eastAsia="en-US"/>
        </w:rPr>
        <w:t>Сведения об остатках денежных средств учреждения (ф. 0503178)</w:t>
      </w:r>
    </w:p>
    <w:p w:rsidR="002011DA" w:rsidRDefault="002011DA" w:rsidP="002011DA">
      <w:pPr>
        <w:ind w:firstLine="708"/>
        <w:jc w:val="both"/>
        <w:rPr>
          <w:rFonts w:eastAsia="Calibri"/>
          <w:lang w:eastAsia="en-US"/>
        </w:rPr>
      </w:pPr>
    </w:p>
    <w:p w:rsidR="008C379B" w:rsidRDefault="002011DA" w:rsidP="00630E02">
      <w:pPr>
        <w:suppressAutoHyphens/>
        <w:ind w:firstLine="708"/>
        <w:jc w:val="both"/>
        <w:rPr>
          <w:color w:val="FF0000"/>
        </w:rPr>
      </w:pPr>
      <w:r w:rsidRPr="00B15988">
        <w:t xml:space="preserve">По состоянию на 01.01.2020 остаток средств во временном распоряжении составляет </w:t>
      </w:r>
      <w:r>
        <w:t>5 682,28</w:t>
      </w:r>
      <w:r w:rsidRPr="00B15988">
        <w:t xml:space="preserve"> рублей</w:t>
      </w:r>
      <w:r>
        <w:t xml:space="preserve"> - </w:t>
      </w:r>
      <w:r w:rsidRPr="00B15988">
        <w:t>денежные средства, поступившие</w:t>
      </w:r>
      <w:r>
        <w:t xml:space="preserve"> на лицевой счет в 2020</w:t>
      </w:r>
      <w:r w:rsidRPr="00B15988">
        <w:t xml:space="preserve"> году в качестве обеспечения по заключенным государственным контрактам. Сроки действия обеспечений</w:t>
      </w:r>
      <w:r>
        <w:t>,</w:t>
      </w:r>
      <w:r w:rsidRPr="00B15988">
        <w:t xml:space="preserve"> согласно условиям государственных контактов истекают в </w:t>
      </w:r>
      <w:r>
        <w:t>2021 году.</w:t>
      </w:r>
      <w:r w:rsidR="00630E02">
        <w:t xml:space="preserve"> </w:t>
      </w:r>
      <w:r w:rsidR="00630E02" w:rsidRPr="00B15988">
        <w:t>Возврат остатка запланирован в 202</w:t>
      </w:r>
      <w:r w:rsidR="00630E02">
        <w:t>1</w:t>
      </w:r>
      <w:r w:rsidR="00630E02" w:rsidRPr="00B15988">
        <w:t xml:space="preserve"> году</w:t>
      </w:r>
      <w:r w:rsidR="00630E02">
        <w:t xml:space="preserve"> после полного исполнения обязательств по государственному контракту.</w:t>
      </w:r>
    </w:p>
    <w:p w:rsidR="008C379B" w:rsidRDefault="008C379B" w:rsidP="00023B7A">
      <w:pPr>
        <w:suppressAutoHyphens/>
        <w:jc w:val="both"/>
        <w:rPr>
          <w:color w:val="FF0000"/>
        </w:rPr>
      </w:pPr>
    </w:p>
    <w:p w:rsidR="00426414" w:rsidRPr="00023B7A" w:rsidRDefault="00426414" w:rsidP="008C379B">
      <w:pPr>
        <w:suppressAutoHyphens/>
        <w:jc w:val="center"/>
        <w:rPr>
          <w:color w:val="FF0000"/>
        </w:rPr>
      </w:pPr>
      <w:r w:rsidRPr="00E5651B">
        <w:rPr>
          <w:b/>
        </w:rPr>
        <w:t>Раздел 5 «Прочие вопросы деятельности субъекта бюджетной            отчетности»</w:t>
      </w:r>
    </w:p>
    <w:p w:rsidR="00426414" w:rsidRDefault="00426414" w:rsidP="00F91F36">
      <w:pPr>
        <w:jc w:val="center"/>
        <w:rPr>
          <w:b/>
        </w:rPr>
      </w:pPr>
    </w:p>
    <w:p w:rsidR="00F657EC" w:rsidRDefault="00426414" w:rsidP="002454FD">
      <w:pPr>
        <w:ind w:firstLine="720"/>
        <w:jc w:val="center"/>
        <w:rPr>
          <w:b/>
        </w:rPr>
      </w:pPr>
      <w:r w:rsidRPr="001B1E48">
        <w:rPr>
          <w:b/>
        </w:rPr>
        <w:t xml:space="preserve">Пояснительная записка об исполнении судебных решений </w:t>
      </w:r>
    </w:p>
    <w:p w:rsidR="00426414" w:rsidRDefault="00426414" w:rsidP="002454FD">
      <w:pPr>
        <w:ind w:firstLine="720"/>
        <w:jc w:val="center"/>
        <w:rPr>
          <w:b/>
          <w:u w:val="single"/>
        </w:rPr>
      </w:pPr>
      <w:r w:rsidRPr="002454FD">
        <w:rPr>
          <w:b/>
          <w:u w:val="single"/>
        </w:rPr>
        <w:t>ф</w:t>
      </w:r>
      <w:r w:rsidR="002454FD" w:rsidRPr="002454FD">
        <w:rPr>
          <w:b/>
          <w:u w:val="single"/>
        </w:rPr>
        <w:t>.</w:t>
      </w:r>
      <w:r w:rsidRPr="002454FD">
        <w:rPr>
          <w:b/>
          <w:u w:val="single"/>
        </w:rPr>
        <w:t xml:space="preserve"> 0503296</w:t>
      </w:r>
    </w:p>
    <w:p w:rsidR="00E8652A" w:rsidRDefault="00E8652A" w:rsidP="002454FD">
      <w:pPr>
        <w:ind w:firstLine="720"/>
        <w:jc w:val="center"/>
        <w:rPr>
          <w:b/>
          <w:u w:val="single"/>
        </w:rPr>
      </w:pPr>
    </w:p>
    <w:p w:rsidR="00023B7A" w:rsidRDefault="00E8652A" w:rsidP="00023B7A">
      <w:pPr>
        <w:shd w:val="clear" w:color="auto" w:fill="FFFFFF"/>
        <w:ind w:firstLine="708"/>
        <w:contextualSpacing/>
        <w:jc w:val="both"/>
      </w:pPr>
      <w:r>
        <w:t>В 20</w:t>
      </w:r>
      <w:r w:rsidR="00630E02">
        <w:t>20</w:t>
      </w:r>
      <w:r>
        <w:t xml:space="preserve"> году судебных исков в адрес Главного управления МЧС России не поступало.</w:t>
      </w:r>
    </w:p>
    <w:p w:rsidR="00630E02" w:rsidRPr="003A6A3F" w:rsidRDefault="00630E02" w:rsidP="00023B7A">
      <w:pPr>
        <w:shd w:val="clear" w:color="auto" w:fill="FFFFFF"/>
        <w:ind w:firstLine="708"/>
        <w:contextualSpacing/>
        <w:jc w:val="both"/>
      </w:pPr>
    </w:p>
    <w:p w:rsidR="008C379B" w:rsidRDefault="00630E02" w:rsidP="00630E02">
      <w:pPr>
        <w:ind w:firstLine="709"/>
        <w:jc w:val="center"/>
        <w:rPr>
          <w:b/>
        </w:rPr>
      </w:pPr>
      <w:r w:rsidRPr="00630E02">
        <w:rPr>
          <w:b/>
        </w:rPr>
        <w:t>«Сведения об основны</w:t>
      </w:r>
      <w:r>
        <w:rPr>
          <w:b/>
        </w:rPr>
        <w:t xml:space="preserve">х положениях учетной политики» </w:t>
      </w:r>
      <w:r w:rsidRPr="00630E02">
        <w:t xml:space="preserve">представлены </w:t>
      </w:r>
      <w:r>
        <w:rPr>
          <w:b/>
        </w:rPr>
        <w:t>в таблице</w:t>
      </w:r>
      <w:r>
        <w:rPr>
          <w:rFonts w:eastAsia="Calibri"/>
          <w:b/>
          <w:lang w:eastAsia="en-US"/>
        </w:rPr>
        <w:t xml:space="preserve"> №4</w:t>
      </w:r>
    </w:p>
    <w:p w:rsidR="00630E02" w:rsidRDefault="00630E02" w:rsidP="00F91F36">
      <w:pPr>
        <w:jc w:val="center"/>
        <w:rPr>
          <w:b/>
        </w:rPr>
      </w:pPr>
    </w:p>
    <w:p w:rsidR="00630E02" w:rsidRDefault="00630E02" w:rsidP="00630E02">
      <w:pPr>
        <w:ind w:firstLine="709"/>
        <w:jc w:val="center"/>
        <w:rPr>
          <w:rFonts w:eastAsia="Calibri"/>
          <w:b/>
          <w:lang w:eastAsia="en-US"/>
        </w:rPr>
      </w:pPr>
    </w:p>
    <w:p w:rsidR="00630E02" w:rsidRDefault="00630E02" w:rsidP="00630E02">
      <w:pPr>
        <w:ind w:firstLine="709"/>
        <w:jc w:val="center"/>
        <w:rPr>
          <w:rFonts w:eastAsia="Calibri"/>
          <w:b/>
          <w:lang w:eastAsia="en-US"/>
        </w:rPr>
      </w:pPr>
    </w:p>
    <w:p w:rsidR="00630E02" w:rsidRPr="00630E02" w:rsidRDefault="00630E02" w:rsidP="00630E02">
      <w:pPr>
        <w:ind w:firstLine="709"/>
        <w:jc w:val="center"/>
        <w:rPr>
          <w:rFonts w:eastAsia="Calibri"/>
          <w:b/>
          <w:lang w:eastAsia="en-US"/>
        </w:rPr>
      </w:pPr>
      <w:r w:rsidRPr="00630E02">
        <w:rPr>
          <w:rFonts w:eastAsia="Calibri"/>
          <w:b/>
          <w:lang w:eastAsia="en-US"/>
        </w:rPr>
        <w:lastRenderedPageBreak/>
        <w:t>Сведения о проведении инвентаризаций (Таблица № 6)</w:t>
      </w:r>
    </w:p>
    <w:p w:rsidR="00630E02" w:rsidRPr="00630E02" w:rsidRDefault="00630E02" w:rsidP="00630E02">
      <w:pPr>
        <w:ind w:firstLine="709"/>
        <w:jc w:val="center"/>
        <w:rPr>
          <w:rFonts w:eastAsia="Calibri"/>
          <w:b/>
          <w:lang w:eastAsia="en-US"/>
        </w:rPr>
      </w:pPr>
    </w:p>
    <w:p w:rsidR="00630E02" w:rsidRPr="00630E02" w:rsidRDefault="00630E02" w:rsidP="00630E02">
      <w:pPr>
        <w:ind w:firstLine="709"/>
        <w:jc w:val="both"/>
        <w:rPr>
          <w:rFonts w:eastAsia="Calibri"/>
          <w:lang w:eastAsia="en-US"/>
        </w:rPr>
      </w:pPr>
      <w:r w:rsidRPr="00630E02">
        <w:rPr>
          <w:rFonts w:eastAsia="Calibri"/>
          <w:lang w:eastAsia="en-US"/>
        </w:rPr>
        <w:t xml:space="preserve">Приказом </w:t>
      </w:r>
      <w:r>
        <w:rPr>
          <w:rFonts w:eastAsia="Calibri"/>
          <w:lang w:eastAsia="en-US"/>
        </w:rPr>
        <w:t>Главного управления</w:t>
      </w:r>
      <w:r w:rsidRPr="00630E02">
        <w:rPr>
          <w:rFonts w:eastAsia="Calibri"/>
          <w:lang w:eastAsia="en-US"/>
        </w:rPr>
        <w:t xml:space="preserve"> от 0</w:t>
      </w:r>
      <w:r w:rsidR="001519AF">
        <w:rPr>
          <w:rFonts w:eastAsia="Calibri"/>
          <w:lang w:eastAsia="en-US"/>
        </w:rPr>
        <w:t>2</w:t>
      </w:r>
      <w:r w:rsidRPr="00630E02">
        <w:rPr>
          <w:rFonts w:eastAsia="Calibri"/>
          <w:lang w:eastAsia="en-US"/>
        </w:rPr>
        <w:t>.1</w:t>
      </w:r>
      <w:r>
        <w:rPr>
          <w:rFonts w:eastAsia="Calibri"/>
          <w:lang w:eastAsia="en-US"/>
        </w:rPr>
        <w:t>1</w:t>
      </w:r>
      <w:r w:rsidR="002E00D3">
        <w:rPr>
          <w:rFonts w:eastAsia="Calibri"/>
          <w:lang w:eastAsia="en-US"/>
        </w:rPr>
        <w:t>.2020</w:t>
      </w:r>
      <w:bookmarkStart w:id="0" w:name="_GoBack"/>
      <w:bookmarkEnd w:id="0"/>
      <w:r w:rsidRPr="00630E02">
        <w:rPr>
          <w:rFonts w:eastAsia="Calibri"/>
          <w:lang w:eastAsia="en-US"/>
        </w:rPr>
        <w:t xml:space="preserve"> № </w:t>
      </w:r>
      <w:r w:rsidR="001519AF">
        <w:rPr>
          <w:rFonts w:eastAsia="Calibri"/>
          <w:lang w:eastAsia="en-US"/>
        </w:rPr>
        <w:t>215</w:t>
      </w:r>
      <w:r w:rsidRPr="00630E02">
        <w:rPr>
          <w:rFonts w:eastAsia="Calibri"/>
          <w:lang w:eastAsia="en-US"/>
        </w:rPr>
        <w:t xml:space="preserve"> в целях обеспечения достоверности данных бюджетного учета и подготовки годовой бюджетной отчетности проведена инвентаризация финансовых обязательств, кассы и имущества.</w:t>
      </w:r>
    </w:p>
    <w:p w:rsidR="00630E02" w:rsidRPr="00630E02" w:rsidRDefault="00630E02" w:rsidP="00630E02">
      <w:pPr>
        <w:ind w:firstLine="709"/>
        <w:jc w:val="both"/>
        <w:rPr>
          <w:rFonts w:eastAsia="Calibri"/>
          <w:lang w:eastAsia="en-US"/>
        </w:rPr>
      </w:pPr>
      <w:r w:rsidRPr="00630E02">
        <w:rPr>
          <w:rFonts w:eastAsia="Calibri"/>
          <w:lang w:eastAsia="en-US"/>
        </w:rPr>
        <w:t>В ходе проведенной инвентаризации расхождений и признаков обесценения объектов нефинансовых активов не выявлено.</w:t>
      </w:r>
    </w:p>
    <w:p w:rsidR="00F00990" w:rsidRDefault="00F00990" w:rsidP="00F00990">
      <w:pPr>
        <w:ind w:firstLine="708"/>
        <w:jc w:val="center"/>
        <w:rPr>
          <w:b/>
        </w:rPr>
      </w:pPr>
    </w:p>
    <w:p w:rsidR="00E8652A" w:rsidRDefault="00E8652A" w:rsidP="00F00990">
      <w:pPr>
        <w:ind w:firstLine="708"/>
        <w:jc w:val="center"/>
        <w:rPr>
          <w:b/>
        </w:rPr>
      </w:pPr>
    </w:p>
    <w:p w:rsidR="001B3F1E" w:rsidRPr="001B3F1E" w:rsidRDefault="001B3F1E" w:rsidP="001B3F1E">
      <w:pPr>
        <w:spacing w:after="200" w:line="276" w:lineRule="auto"/>
        <w:ind w:firstLine="709"/>
        <w:contextualSpacing/>
        <w:jc w:val="both"/>
        <w:rPr>
          <w:rFonts w:eastAsia="Calibri"/>
          <w:lang w:eastAsia="en-US"/>
        </w:rPr>
      </w:pPr>
      <w:r w:rsidRPr="001B3F1E">
        <w:rPr>
          <w:rFonts w:eastAsia="Calibri"/>
          <w:lang w:eastAsia="en-US"/>
        </w:rPr>
        <w:t>Ввиду отсутствия числового значения в бюджетном учете Учреждения в составе годовой бюджетной отчетности по главе 177 «МЧС России» в статусе «Показатели отсутствуют» представлены следующие формы:</w:t>
      </w:r>
    </w:p>
    <w:p w:rsidR="001B3F1E" w:rsidRPr="001B3F1E" w:rsidRDefault="001B3F1E" w:rsidP="001B3F1E">
      <w:pPr>
        <w:spacing w:after="200" w:line="276" w:lineRule="auto"/>
        <w:ind w:firstLine="709"/>
        <w:contextualSpacing/>
        <w:jc w:val="both"/>
        <w:rPr>
          <w:rFonts w:eastAsia="Calibri"/>
          <w:lang w:eastAsia="en-US"/>
        </w:rPr>
      </w:pPr>
      <w:r w:rsidRPr="001B3F1E">
        <w:rPr>
          <w:rFonts w:eastAsia="Calibri"/>
          <w:lang w:eastAsia="en-US"/>
        </w:rPr>
        <w:t>- форма 0503125 «Справка по консолидируемым расчетам» по счетам  120651561, 120651661, 120731000, 120731541, 120731641, 120711000, 120711641, 120711541, 120721000, 120721641, 120721541, 130251000, 130251831, 120551000, 120551561, 120551661, 120651000, 120651561, 130406000, 140110151, 140110161, 140110189, 140110191, 140110195, 140120251, 140120241, 140140161, 140140151.</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таблица № 6 «Сведения о проведении инвентаризаций»;</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форма 0503166 «Сведения об исполнении мероприятий в рамках целевых программ»;</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форма 0503167 «Сведения о целевых иностранных кредитах»;</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форма 0503171 «Сведения о финансовых вложениях получателя бюджетных средств, администратора источников финансирования дефицита бюджета»;</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форма 0503172 «Сведения о государственном (муниципальном) долге, предоставленных бюджетных кредитах»;</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форма 0503184 «Справка о суммах консолидируемых поступлений, подлежащих зачислению на счет бюджета»;</w:t>
      </w:r>
    </w:p>
    <w:p w:rsidR="001B3F1E" w:rsidRPr="001B3F1E" w:rsidRDefault="001B3F1E" w:rsidP="001B3F1E">
      <w:pPr>
        <w:autoSpaceDE w:val="0"/>
        <w:autoSpaceDN w:val="0"/>
        <w:adjustRightInd w:val="0"/>
        <w:spacing w:after="200"/>
        <w:ind w:firstLine="709"/>
        <w:contextualSpacing/>
        <w:jc w:val="both"/>
        <w:rPr>
          <w:rFonts w:eastAsia="Calibri"/>
          <w:bCs/>
          <w:shd w:val="clear" w:color="auto" w:fill="FFFFFF"/>
          <w:lang w:eastAsia="en-US"/>
        </w:rPr>
      </w:pPr>
      <w:r w:rsidRPr="001B3F1E">
        <w:rPr>
          <w:rFonts w:eastAsia="Calibri"/>
          <w:bCs/>
          <w:shd w:val="clear" w:color="auto" w:fill="FFFFFF"/>
          <w:lang w:eastAsia="en-US"/>
        </w:rPr>
        <w:t xml:space="preserve">- </w:t>
      </w:r>
      <w:r w:rsidRPr="001B3F1E">
        <w:rPr>
          <w:rFonts w:eastAsia="Calibri"/>
          <w:lang w:eastAsia="en-US"/>
        </w:rPr>
        <w:t>форма 0503192 «</w:t>
      </w:r>
      <w:r w:rsidRPr="001B3F1E">
        <w:rPr>
          <w:rFonts w:eastAsia="Calibri"/>
          <w:bCs/>
          <w:shd w:val="clear" w:color="auto" w:fill="FFFFFF"/>
          <w:lang w:eastAsia="en-US"/>
        </w:rPr>
        <w:t>Расшифровка дебиторской задолженности по контрактным обязательствам»;</w:t>
      </w:r>
    </w:p>
    <w:p w:rsidR="001B3F1E" w:rsidRPr="001B3F1E" w:rsidRDefault="001B3F1E" w:rsidP="001B3F1E">
      <w:pPr>
        <w:autoSpaceDE w:val="0"/>
        <w:autoSpaceDN w:val="0"/>
        <w:adjustRightInd w:val="0"/>
        <w:spacing w:after="200"/>
        <w:ind w:firstLine="709"/>
        <w:contextualSpacing/>
        <w:jc w:val="both"/>
        <w:rPr>
          <w:rFonts w:eastAsia="Calibri"/>
          <w:lang w:eastAsia="en-US"/>
        </w:rPr>
      </w:pPr>
      <w:r w:rsidRPr="001B3F1E">
        <w:rPr>
          <w:rFonts w:eastAsia="Calibri"/>
          <w:lang w:eastAsia="en-US"/>
        </w:rPr>
        <w:t>- форма 0503193 «Расшифровка дебиторской задолженности по субсидиям  организациям».</w:t>
      </w:r>
    </w:p>
    <w:p w:rsidR="000272DF" w:rsidRDefault="000272DF" w:rsidP="006C770E">
      <w:pPr>
        <w:ind w:firstLine="708"/>
      </w:pPr>
    </w:p>
    <w:p w:rsidR="00F4432C" w:rsidRDefault="00F4432C"/>
    <w:p w:rsidR="00F4432C" w:rsidRDefault="002108BA" w:rsidP="00F4432C">
      <w:pPr>
        <w:tabs>
          <w:tab w:val="left" w:pos="7020"/>
        </w:tabs>
        <w:jc w:val="both"/>
        <w:rPr>
          <w:color w:val="000000"/>
        </w:rPr>
      </w:pPr>
      <w:r>
        <w:rPr>
          <w:color w:val="000000"/>
        </w:rPr>
        <w:t>Начальник Финансово-экономического отделения</w:t>
      </w:r>
    </w:p>
    <w:p w:rsidR="00F4432C" w:rsidRDefault="00B2722A" w:rsidP="00F4432C">
      <w:pPr>
        <w:tabs>
          <w:tab w:val="left" w:pos="7020"/>
        </w:tabs>
        <w:jc w:val="both"/>
        <w:rPr>
          <w:color w:val="000000"/>
        </w:rPr>
      </w:pPr>
      <w:r>
        <w:rPr>
          <w:color w:val="000000"/>
        </w:rPr>
        <w:t>подполковник</w:t>
      </w:r>
      <w:r w:rsidR="003C5403">
        <w:rPr>
          <w:color w:val="000000"/>
        </w:rPr>
        <w:t xml:space="preserve"> внутренней службы</w:t>
      </w:r>
      <w:r w:rsidR="00F4432C">
        <w:rPr>
          <w:color w:val="000000"/>
        </w:rPr>
        <w:tab/>
        <w:t xml:space="preserve">       </w:t>
      </w:r>
      <w:r w:rsidR="003C5403">
        <w:rPr>
          <w:color w:val="000000"/>
        </w:rPr>
        <w:t>О.П.Тюленева</w:t>
      </w:r>
    </w:p>
    <w:p w:rsidR="00F4432C" w:rsidRDefault="00F4432C"/>
    <w:p w:rsidR="0007087C" w:rsidRDefault="0007087C"/>
    <w:p w:rsidR="0007087C" w:rsidRDefault="0007087C" w:rsidP="002E13CE">
      <w:pPr>
        <w:ind w:left="708"/>
      </w:pPr>
    </w:p>
    <w:sectPr w:rsidR="0007087C" w:rsidSect="0026250D">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F6" w:rsidRDefault="00120CF6" w:rsidP="00A64285">
      <w:r>
        <w:separator/>
      </w:r>
    </w:p>
  </w:endnote>
  <w:endnote w:type="continuationSeparator" w:id="0">
    <w:p w:rsidR="00120CF6" w:rsidRDefault="00120CF6" w:rsidP="00A6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F6" w:rsidRDefault="00120CF6" w:rsidP="00A64285">
      <w:r>
        <w:separator/>
      </w:r>
    </w:p>
  </w:footnote>
  <w:footnote w:type="continuationSeparator" w:id="0">
    <w:p w:rsidR="00120CF6" w:rsidRDefault="00120CF6" w:rsidP="00A6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7"/>
        <w:szCs w:val="27"/>
        <w:u w:val="none"/>
      </w:rPr>
    </w:lvl>
    <w:lvl w:ilvl="1">
      <w:start w:val="3"/>
      <w:numFmt w:val="decimal"/>
      <w:lvlText w:val="%1."/>
      <w:lvlJc w:val="left"/>
      <w:rPr>
        <w:b w:val="0"/>
        <w:bCs w:val="0"/>
        <w:i w:val="0"/>
        <w:iCs w:val="0"/>
        <w:smallCaps w:val="0"/>
        <w:strike w:val="0"/>
        <w:color w:val="000000"/>
        <w:spacing w:val="0"/>
        <w:w w:val="100"/>
        <w:position w:val="0"/>
        <w:sz w:val="27"/>
        <w:szCs w:val="27"/>
        <w:u w:val="none"/>
      </w:rPr>
    </w:lvl>
    <w:lvl w:ilvl="2">
      <w:start w:val="3"/>
      <w:numFmt w:val="decimal"/>
      <w:lvlText w:val="%1."/>
      <w:lvlJc w:val="left"/>
      <w:rPr>
        <w:b w:val="0"/>
        <w:bCs w:val="0"/>
        <w:i w:val="0"/>
        <w:iCs w:val="0"/>
        <w:smallCaps w:val="0"/>
        <w:strike w:val="0"/>
        <w:color w:val="000000"/>
        <w:spacing w:val="0"/>
        <w:w w:val="100"/>
        <w:position w:val="0"/>
        <w:sz w:val="27"/>
        <w:szCs w:val="27"/>
        <w:u w:val="none"/>
      </w:rPr>
    </w:lvl>
    <w:lvl w:ilvl="3">
      <w:start w:val="3"/>
      <w:numFmt w:val="decimal"/>
      <w:lvlText w:val="%1."/>
      <w:lvlJc w:val="left"/>
      <w:rPr>
        <w:b w:val="0"/>
        <w:bCs w:val="0"/>
        <w:i w:val="0"/>
        <w:iCs w:val="0"/>
        <w:smallCaps w:val="0"/>
        <w:strike w:val="0"/>
        <w:color w:val="000000"/>
        <w:spacing w:val="0"/>
        <w:w w:val="100"/>
        <w:position w:val="0"/>
        <w:sz w:val="27"/>
        <w:szCs w:val="27"/>
        <w:u w:val="none"/>
      </w:rPr>
    </w:lvl>
    <w:lvl w:ilvl="4">
      <w:start w:val="3"/>
      <w:numFmt w:val="decimal"/>
      <w:lvlText w:val="%1."/>
      <w:lvlJc w:val="left"/>
      <w:rPr>
        <w:b w:val="0"/>
        <w:bCs w:val="0"/>
        <w:i w:val="0"/>
        <w:iCs w:val="0"/>
        <w:smallCaps w:val="0"/>
        <w:strike w:val="0"/>
        <w:color w:val="000000"/>
        <w:spacing w:val="0"/>
        <w:w w:val="100"/>
        <w:position w:val="0"/>
        <w:sz w:val="27"/>
        <w:szCs w:val="27"/>
        <w:u w:val="none"/>
      </w:rPr>
    </w:lvl>
    <w:lvl w:ilvl="5">
      <w:start w:val="3"/>
      <w:numFmt w:val="decimal"/>
      <w:lvlText w:val="%1."/>
      <w:lvlJc w:val="left"/>
      <w:rPr>
        <w:b w:val="0"/>
        <w:bCs w:val="0"/>
        <w:i w:val="0"/>
        <w:iCs w:val="0"/>
        <w:smallCaps w:val="0"/>
        <w:strike w:val="0"/>
        <w:color w:val="000000"/>
        <w:spacing w:val="0"/>
        <w:w w:val="100"/>
        <w:position w:val="0"/>
        <w:sz w:val="27"/>
        <w:szCs w:val="27"/>
        <w:u w:val="none"/>
      </w:rPr>
    </w:lvl>
    <w:lvl w:ilvl="6">
      <w:start w:val="3"/>
      <w:numFmt w:val="decimal"/>
      <w:lvlText w:val="%1."/>
      <w:lvlJc w:val="left"/>
      <w:rPr>
        <w:b w:val="0"/>
        <w:bCs w:val="0"/>
        <w:i w:val="0"/>
        <w:iCs w:val="0"/>
        <w:smallCaps w:val="0"/>
        <w:strike w:val="0"/>
        <w:color w:val="000000"/>
        <w:spacing w:val="0"/>
        <w:w w:val="100"/>
        <w:position w:val="0"/>
        <w:sz w:val="27"/>
        <w:szCs w:val="27"/>
        <w:u w:val="none"/>
      </w:rPr>
    </w:lvl>
    <w:lvl w:ilvl="7">
      <w:start w:val="3"/>
      <w:numFmt w:val="decimal"/>
      <w:lvlText w:val="%1."/>
      <w:lvlJc w:val="left"/>
      <w:rPr>
        <w:b w:val="0"/>
        <w:bCs w:val="0"/>
        <w:i w:val="0"/>
        <w:iCs w:val="0"/>
        <w:smallCaps w:val="0"/>
        <w:strike w:val="0"/>
        <w:color w:val="000000"/>
        <w:spacing w:val="0"/>
        <w:w w:val="100"/>
        <w:position w:val="0"/>
        <w:sz w:val="27"/>
        <w:szCs w:val="27"/>
        <w:u w:val="none"/>
      </w:rPr>
    </w:lvl>
    <w:lvl w:ilvl="8">
      <w:start w:val="3"/>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4"/>
      <w:numFmt w:val="decimal"/>
      <w:lvlText w:val="%2."/>
      <w:lvlJc w:val="left"/>
      <w:rPr>
        <w:b w:val="0"/>
        <w:bCs w:val="0"/>
        <w:i w:val="0"/>
        <w:iCs w:val="0"/>
        <w:smallCaps w:val="0"/>
        <w:strike w:val="0"/>
        <w:color w:val="000000"/>
        <w:spacing w:val="0"/>
        <w:w w:val="100"/>
        <w:position w:val="0"/>
        <w:sz w:val="27"/>
        <w:szCs w:val="27"/>
        <w:u w:val="none"/>
      </w:rPr>
    </w:lvl>
    <w:lvl w:ilvl="2">
      <w:start w:val="4"/>
      <w:numFmt w:val="decimal"/>
      <w:lvlText w:val="%2."/>
      <w:lvlJc w:val="left"/>
      <w:rPr>
        <w:b w:val="0"/>
        <w:bCs w:val="0"/>
        <w:i w:val="0"/>
        <w:iCs w:val="0"/>
        <w:smallCaps w:val="0"/>
        <w:strike w:val="0"/>
        <w:color w:val="000000"/>
        <w:spacing w:val="0"/>
        <w:w w:val="100"/>
        <w:position w:val="0"/>
        <w:sz w:val="27"/>
        <w:szCs w:val="27"/>
        <w:u w:val="none"/>
      </w:rPr>
    </w:lvl>
    <w:lvl w:ilvl="3">
      <w:start w:val="4"/>
      <w:numFmt w:val="decimal"/>
      <w:lvlText w:val="%2."/>
      <w:lvlJc w:val="left"/>
      <w:rPr>
        <w:b w:val="0"/>
        <w:bCs w:val="0"/>
        <w:i w:val="0"/>
        <w:iCs w:val="0"/>
        <w:smallCaps w:val="0"/>
        <w:strike w:val="0"/>
        <w:color w:val="000000"/>
        <w:spacing w:val="0"/>
        <w:w w:val="100"/>
        <w:position w:val="0"/>
        <w:sz w:val="27"/>
        <w:szCs w:val="27"/>
        <w:u w:val="none"/>
      </w:rPr>
    </w:lvl>
    <w:lvl w:ilvl="4">
      <w:start w:val="4"/>
      <w:numFmt w:val="decimal"/>
      <w:lvlText w:val="%2."/>
      <w:lvlJc w:val="left"/>
      <w:rPr>
        <w:b w:val="0"/>
        <w:bCs w:val="0"/>
        <w:i w:val="0"/>
        <w:iCs w:val="0"/>
        <w:smallCaps w:val="0"/>
        <w:strike w:val="0"/>
        <w:color w:val="000000"/>
        <w:spacing w:val="0"/>
        <w:w w:val="100"/>
        <w:position w:val="0"/>
        <w:sz w:val="27"/>
        <w:szCs w:val="27"/>
        <w:u w:val="none"/>
      </w:rPr>
    </w:lvl>
    <w:lvl w:ilvl="5">
      <w:start w:val="4"/>
      <w:numFmt w:val="decimal"/>
      <w:lvlText w:val="%2."/>
      <w:lvlJc w:val="left"/>
      <w:rPr>
        <w:b w:val="0"/>
        <w:bCs w:val="0"/>
        <w:i w:val="0"/>
        <w:iCs w:val="0"/>
        <w:smallCaps w:val="0"/>
        <w:strike w:val="0"/>
        <w:color w:val="000000"/>
        <w:spacing w:val="0"/>
        <w:w w:val="100"/>
        <w:position w:val="0"/>
        <w:sz w:val="27"/>
        <w:szCs w:val="27"/>
        <w:u w:val="none"/>
      </w:rPr>
    </w:lvl>
    <w:lvl w:ilvl="6">
      <w:start w:val="4"/>
      <w:numFmt w:val="decimal"/>
      <w:lvlText w:val="%2."/>
      <w:lvlJc w:val="left"/>
      <w:rPr>
        <w:b w:val="0"/>
        <w:bCs w:val="0"/>
        <w:i w:val="0"/>
        <w:iCs w:val="0"/>
        <w:smallCaps w:val="0"/>
        <w:strike w:val="0"/>
        <w:color w:val="000000"/>
        <w:spacing w:val="0"/>
        <w:w w:val="100"/>
        <w:position w:val="0"/>
        <w:sz w:val="27"/>
        <w:szCs w:val="27"/>
        <w:u w:val="none"/>
      </w:rPr>
    </w:lvl>
    <w:lvl w:ilvl="7">
      <w:start w:val="4"/>
      <w:numFmt w:val="decimal"/>
      <w:lvlText w:val="%2."/>
      <w:lvlJc w:val="left"/>
      <w:rPr>
        <w:b w:val="0"/>
        <w:bCs w:val="0"/>
        <w:i w:val="0"/>
        <w:iCs w:val="0"/>
        <w:smallCaps w:val="0"/>
        <w:strike w:val="0"/>
        <w:color w:val="000000"/>
        <w:spacing w:val="0"/>
        <w:w w:val="100"/>
        <w:position w:val="0"/>
        <w:sz w:val="27"/>
        <w:szCs w:val="27"/>
        <w:u w:val="none"/>
      </w:rPr>
    </w:lvl>
    <w:lvl w:ilvl="8">
      <w:start w:val="4"/>
      <w:numFmt w:val="decimal"/>
      <w:lvlText w:val="%2."/>
      <w:lvlJc w:val="left"/>
      <w:rPr>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5"/>
      <w:numFmt w:val="decimal"/>
      <w:lvlText w:val="%2."/>
      <w:lvlJc w:val="left"/>
      <w:rPr>
        <w:b w:val="0"/>
        <w:bCs w:val="0"/>
        <w:i w:val="0"/>
        <w:iCs w:val="0"/>
        <w:smallCaps w:val="0"/>
        <w:strike w:val="0"/>
        <w:color w:val="000000"/>
        <w:spacing w:val="0"/>
        <w:w w:val="100"/>
        <w:position w:val="0"/>
        <w:sz w:val="27"/>
        <w:szCs w:val="27"/>
        <w:u w:val="none"/>
      </w:rPr>
    </w:lvl>
    <w:lvl w:ilvl="2">
      <w:start w:val="5"/>
      <w:numFmt w:val="decimal"/>
      <w:lvlText w:val="%2."/>
      <w:lvlJc w:val="left"/>
      <w:rPr>
        <w:b w:val="0"/>
        <w:bCs w:val="0"/>
        <w:i w:val="0"/>
        <w:iCs w:val="0"/>
        <w:smallCaps w:val="0"/>
        <w:strike w:val="0"/>
        <w:color w:val="000000"/>
        <w:spacing w:val="0"/>
        <w:w w:val="100"/>
        <w:position w:val="0"/>
        <w:sz w:val="27"/>
        <w:szCs w:val="27"/>
        <w:u w:val="none"/>
      </w:rPr>
    </w:lvl>
    <w:lvl w:ilvl="3">
      <w:start w:val="5"/>
      <w:numFmt w:val="decimal"/>
      <w:lvlText w:val="%2."/>
      <w:lvlJc w:val="left"/>
      <w:rPr>
        <w:b w:val="0"/>
        <w:bCs w:val="0"/>
        <w:i w:val="0"/>
        <w:iCs w:val="0"/>
        <w:smallCaps w:val="0"/>
        <w:strike w:val="0"/>
        <w:color w:val="000000"/>
        <w:spacing w:val="0"/>
        <w:w w:val="100"/>
        <w:position w:val="0"/>
        <w:sz w:val="27"/>
        <w:szCs w:val="27"/>
        <w:u w:val="none"/>
      </w:rPr>
    </w:lvl>
    <w:lvl w:ilvl="4">
      <w:start w:val="5"/>
      <w:numFmt w:val="decimal"/>
      <w:lvlText w:val="%2."/>
      <w:lvlJc w:val="left"/>
      <w:rPr>
        <w:b w:val="0"/>
        <w:bCs w:val="0"/>
        <w:i w:val="0"/>
        <w:iCs w:val="0"/>
        <w:smallCaps w:val="0"/>
        <w:strike w:val="0"/>
        <w:color w:val="000000"/>
        <w:spacing w:val="0"/>
        <w:w w:val="100"/>
        <w:position w:val="0"/>
        <w:sz w:val="27"/>
        <w:szCs w:val="27"/>
        <w:u w:val="none"/>
      </w:rPr>
    </w:lvl>
    <w:lvl w:ilvl="5">
      <w:start w:val="5"/>
      <w:numFmt w:val="decimal"/>
      <w:lvlText w:val="%2."/>
      <w:lvlJc w:val="left"/>
      <w:rPr>
        <w:b w:val="0"/>
        <w:bCs w:val="0"/>
        <w:i w:val="0"/>
        <w:iCs w:val="0"/>
        <w:smallCaps w:val="0"/>
        <w:strike w:val="0"/>
        <w:color w:val="000000"/>
        <w:spacing w:val="0"/>
        <w:w w:val="100"/>
        <w:position w:val="0"/>
        <w:sz w:val="27"/>
        <w:szCs w:val="27"/>
        <w:u w:val="none"/>
      </w:rPr>
    </w:lvl>
    <w:lvl w:ilvl="6">
      <w:start w:val="5"/>
      <w:numFmt w:val="decimal"/>
      <w:lvlText w:val="%2."/>
      <w:lvlJc w:val="left"/>
      <w:rPr>
        <w:b w:val="0"/>
        <w:bCs w:val="0"/>
        <w:i w:val="0"/>
        <w:iCs w:val="0"/>
        <w:smallCaps w:val="0"/>
        <w:strike w:val="0"/>
        <w:color w:val="000000"/>
        <w:spacing w:val="0"/>
        <w:w w:val="100"/>
        <w:position w:val="0"/>
        <w:sz w:val="27"/>
        <w:szCs w:val="27"/>
        <w:u w:val="none"/>
      </w:rPr>
    </w:lvl>
    <w:lvl w:ilvl="7">
      <w:start w:val="5"/>
      <w:numFmt w:val="decimal"/>
      <w:lvlText w:val="%2."/>
      <w:lvlJc w:val="left"/>
      <w:rPr>
        <w:b w:val="0"/>
        <w:bCs w:val="0"/>
        <w:i w:val="0"/>
        <w:iCs w:val="0"/>
        <w:smallCaps w:val="0"/>
        <w:strike w:val="0"/>
        <w:color w:val="000000"/>
        <w:spacing w:val="0"/>
        <w:w w:val="100"/>
        <w:position w:val="0"/>
        <w:sz w:val="27"/>
        <w:szCs w:val="27"/>
        <w:u w:val="none"/>
      </w:rPr>
    </w:lvl>
    <w:lvl w:ilvl="8">
      <w:start w:val="5"/>
      <w:numFmt w:val="decimal"/>
      <w:lvlText w:val="%2."/>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6"/>
      <w:numFmt w:val="decimal"/>
      <w:lvlText w:val="%2."/>
      <w:lvlJc w:val="left"/>
      <w:rPr>
        <w:b w:val="0"/>
        <w:bCs w:val="0"/>
        <w:i w:val="0"/>
        <w:iCs w:val="0"/>
        <w:smallCaps w:val="0"/>
        <w:strike w:val="0"/>
        <w:color w:val="000000"/>
        <w:spacing w:val="0"/>
        <w:w w:val="100"/>
        <w:position w:val="0"/>
        <w:sz w:val="27"/>
        <w:szCs w:val="27"/>
        <w:u w:val="none"/>
      </w:rPr>
    </w:lvl>
    <w:lvl w:ilvl="2">
      <w:start w:val="6"/>
      <w:numFmt w:val="decimal"/>
      <w:lvlText w:val="%2."/>
      <w:lvlJc w:val="left"/>
      <w:rPr>
        <w:b w:val="0"/>
        <w:bCs w:val="0"/>
        <w:i w:val="0"/>
        <w:iCs w:val="0"/>
        <w:smallCaps w:val="0"/>
        <w:strike w:val="0"/>
        <w:color w:val="000000"/>
        <w:spacing w:val="0"/>
        <w:w w:val="100"/>
        <w:position w:val="0"/>
        <w:sz w:val="27"/>
        <w:szCs w:val="27"/>
        <w:u w:val="none"/>
      </w:rPr>
    </w:lvl>
    <w:lvl w:ilvl="3">
      <w:start w:val="6"/>
      <w:numFmt w:val="decimal"/>
      <w:lvlText w:val="%2."/>
      <w:lvlJc w:val="left"/>
      <w:rPr>
        <w:b w:val="0"/>
        <w:bCs w:val="0"/>
        <w:i w:val="0"/>
        <w:iCs w:val="0"/>
        <w:smallCaps w:val="0"/>
        <w:strike w:val="0"/>
        <w:color w:val="000000"/>
        <w:spacing w:val="0"/>
        <w:w w:val="100"/>
        <w:position w:val="0"/>
        <w:sz w:val="27"/>
        <w:szCs w:val="27"/>
        <w:u w:val="none"/>
      </w:rPr>
    </w:lvl>
    <w:lvl w:ilvl="4">
      <w:start w:val="6"/>
      <w:numFmt w:val="decimal"/>
      <w:lvlText w:val="%2."/>
      <w:lvlJc w:val="left"/>
      <w:rPr>
        <w:b w:val="0"/>
        <w:bCs w:val="0"/>
        <w:i w:val="0"/>
        <w:iCs w:val="0"/>
        <w:smallCaps w:val="0"/>
        <w:strike w:val="0"/>
        <w:color w:val="000000"/>
        <w:spacing w:val="0"/>
        <w:w w:val="100"/>
        <w:position w:val="0"/>
        <w:sz w:val="27"/>
        <w:szCs w:val="27"/>
        <w:u w:val="none"/>
      </w:rPr>
    </w:lvl>
    <w:lvl w:ilvl="5">
      <w:start w:val="6"/>
      <w:numFmt w:val="decimal"/>
      <w:lvlText w:val="%2."/>
      <w:lvlJc w:val="left"/>
      <w:rPr>
        <w:b w:val="0"/>
        <w:bCs w:val="0"/>
        <w:i w:val="0"/>
        <w:iCs w:val="0"/>
        <w:smallCaps w:val="0"/>
        <w:strike w:val="0"/>
        <w:color w:val="000000"/>
        <w:spacing w:val="0"/>
        <w:w w:val="100"/>
        <w:position w:val="0"/>
        <w:sz w:val="27"/>
        <w:szCs w:val="27"/>
        <w:u w:val="none"/>
      </w:rPr>
    </w:lvl>
    <w:lvl w:ilvl="6">
      <w:start w:val="6"/>
      <w:numFmt w:val="decimal"/>
      <w:lvlText w:val="%2."/>
      <w:lvlJc w:val="left"/>
      <w:rPr>
        <w:b w:val="0"/>
        <w:bCs w:val="0"/>
        <w:i w:val="0"/>
        <w:iCs w:val="0"/>
        <w:smallCaps w:val="0"/>
        <w:strike w:val="0"/>
        <w:color w:val="000000"/>
        <w:spacing w:val="0"/>
        <w:w w:val="100"/>
        <w:position w:val="0"/>
        <w:sz w:val="27"/>
        <w:szCs w:val="27"/>
        <w:u w:val="none"/>
      </w:rPr>
    </w:lvl>
    <w:lvl w:ilvl="7">
      <w:start w:val="6"/>
      <w:numFmt w:val="decimal"/>
      <w:lvlText w:val="%2."/>
      <w:lvlJc w:val="left"/>
      <w:rPr>
        <w:b w:val="0"/>
        <w:bCs w:val="0"/>
        <w:i w:val="0"/>
        <w:iCs w:val="0"/>
        <w:smallCaps w:val="0"/>
        <w:strike w:val="0"/>
        <w:color w:val="000000"/>
        <w:spacing w:val="0"/>
        <w:w w:val="100"/>
        <w:position w:val="0"/>
        <w:sz w:val="27"/>
        <w:szCs w:val="27"/>
        <w:u w:val="none"/>
      </w:rPr>
    </w:lvl>
    <w:lvl w:ilvl="8">
      <w:start w:val="6"/>
      <w:numFmt w:val="decimal"/>
      <w:lvlText w:val="%2."/>
      <w:lvlJc w:val="left"/>
      <w:rPr>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5">
    <w:nsid w:val="3930326A"/>
    <w:multiLevelType w:val="multilevel"/>
    <w:tmpl w:val="87FA1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70E84"/>
    <w:multiLevelType w:val="hybridMultilevel"/>
    <w:tmpl w:val="3760C98C"/>
    <w:lvl w:ilvl="0" w:tplc="3C2607F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4B64903"/>
    <w:multiLevelType w:val="hybridMultilevel"/>
    <w:tmpl w:val="46B4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B52946"/>
    <w:multiLevelType w:val="hybridMultilevel"/>
    <w:tmpl w:val="46B4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5E"/>
    <w:rsid w:val="000166C5"/>
    <w:rsid w:val="00017E26"/>
    <w:rsid w:val="0002287D"/>
    <w:rsid w:val="00023B7A"/>
    <w:rsid w:val="000272DF"/>
    <w:rsid w:val="00031A59"/>
    <w:rsid w:val="000321AD"/>
    <w:rsid w:val="00035007"/>
    <w:rsid w:val="00043460"/>
    <w:rsid w:val="00047619"/>
    <w:rsid w:val="00047A5E"/>
    <w:rsid w:val="00051F70"/>
    <w:rsid w:val="00053DD3"/>
    <w:rsid w:val="00054033"/>
    <w:rsid w:val="00065F8A"/>
    <w:rsid w:val="0007087C"/>
    <w:rsid w:val="00073D21"/>
    <w:rsid w:val="00073EAD"/>
    <w:rsid w:val="000779E9"/>
    <w:rsid w:val="00081AF8"/>
    <w:rsid w:val="0008694B"/>
    <w:rsid w:val="00090379"/>
    <w:rsid w:val="00091963"/>
    <w:rsid w:val="000978ED"/>
    <w:rsid w:val="000A0D96"/>
    <w:rsid w:val="000A5FF5"/>
    <w:rsid w:val="000B6FAE"/>
    <w:rsid w:val="000B76D1"/>
    <w:rsid w:val="000C4B0D"/>
    <w:rsid w:val="000C54CE"/>
    <w:rsid w:val="000D51C7"/>
    <w:rsid w:val="000E2031"/>
    <w:rsid w:val="000F737D"/>
    <w:rsid w:val="00106380"/>
    <w:rsid w:val="001073C7"/>
    <w:rsid w:val="00120CF6"/>
    <w:rsid w:val="00124392"/>
    <w:rsid w:val="00125058"/>
    <w:rsid w:val="0012680C"/>
    <w:rsid w:val="00140F30"/>
    <w:rsid w:val="00142E68"/>
    <w:rsid w:val="00144307"/>
    <w:rsid w:val="00150F97"/>
    <w:rsid w:val="001519AF"/>
    <w:rsid w:val="00151CCA"/>
    <w:rsid w:val="00161A1D"/>
    <w:rsid w:val="0017198C"/>
    <w:rsid w:val="0017507B"/>
    <w:rsid w:val="0018407F"/>
    <w:rsid w:val="001863CF"/>
    <w:rsid w:val="001A20FE"/>
    <w:rsid w:val="001A6474"/>
    <w:rsid w:val="001B250D"/>
    <w:rsid w:val="001B3F1E"/>
    <w:rsid w:val="001D48F6"/>
    <w:rsid w:val="001E5345"/>
    <w:rsid w:val="001E7DE3"/>
    <w:rsid w:val="001F1382"/>
    <w:rsid w:val="001F1D2D"/>
    <w:rsid w:val="001F2284"/>
    <w:rsid w:val="001F2B14"/>
    <w:rsid w:val="002011DA"/>
    <w:rsid w:val="0020591E"/>
    <w:rsid w:val="002108BA"/>
    <w:rsid w:val="00211EF1"/>
    <w:rsid w:val="002122AA"/>
    <w:rsid w:val="002163AC"/>
    <w:rsid w:val="00217541"/>
    <w:rsid w:val="002226AA"/>
    <w:rsid w:val="00222F0A"/>
    <w:rsid w:val="002246DC"/>
    <w:rsid w:val="00225EF7"/>
    <w:rsid w:val="0024109D"/>
    <w:rsid w:val="002454FD"/>
    <w:rsid w:val="00253496"/>
    <w:rsid w:val="00256D4E"/>
    <w:rsid w:val="0026250D"/>
    <w:rsid w:val="00276829"/>
    <w:rsid w:val="0028030F"/>
    <w:rsid w:val="002835F5"/>
    <w:rsid w:val="002B6EDA"/>
    <w:rsid w:val="002C17C5"/>
    <w:rsid w:val="002C2A6E"/>
    <w:rsid w:val="002C2FA6"/>
    <w:rsid w:val="002D2553"/>
    <w:rsid w:val="002D58BB"/>
    <w:rsid w:val="002D6A13"/>
    <w:rsid w:val="002E00D3"/>
    <w:rsid w:val="002E13CE"/>
    <w:rsid w:val="002E6974"/>
    <w:rsid w:val="002E6AFC"/>
    <w:rsid w:val="002E7A45"/>
    <w:rsid w:val="002F1EB3"/>
    <w:rsid w:val="002F34C2"/>
    <w:rsid w:val="002F4127"/>
    <w:rsid w:val="002F5BF6"/>
    <w:rsid w:val="00305C04"/>
    <w:rsid w:val="003129C2"/>
    <w:rsid w:val="0032306E"/>
    <w:rsid w:val="00335461"/>
    <w:rsid w:val="00363250"/>
    <w:rsid w:val="00370151"/>
    <w:rsid w:val="00374D4F"/>
    <w:rsid w:val="00375729"/>
    <w:rsid w:val="0037639B"/>
    <w:rsid w:val="003771E1"/>
    <w:rsid w:val="00393941"/>
    <w:rsid w:val="00393B3A"/>
    <w:rsid w:val="00396D6E"/>
    <w:rsid w:val="003A3E73"/>
    <w:rsid w:val="003A6A3F"/>
    <w:rsid w:val="003A726E"/>
    <w:rsid w:val="003B0923"/>
    <w:rsid w:val="003B67F9"/>
    <w:rsid w:val="003C5403"/>
    <w:rsid w:val="003D0FFC"/>
    <w:rsid w:val="003D366B"/>
    <w:rsid w:val="003D5781"/>
    <w:rsid w:val="003D6E93"/>
    <w:rsid w:val="0040146A"/>
    <w:rsid w:val="00401BE3"/>
    <w:rsid w:val="004026D5"/>
    <w:rsid w:val="00406F59"/>
    <w:rsid w:val="00413927"/>
    <w:rsid w:val="00421EB0"/>
    <w:rsid w:val="00424CA3"/>
    <w:rsid w:val="00426414"/>
    <w:rsid w:val="004404C0"/>
    <w:rsid w:val="00450A0F"/>
    <w:rsid w:val="00454ACE"/>
    <w:rsid w:val="00464924"/>
    <w:rsid w:val="00465C8B"/>
    <w:rsid w:val="00481576"/>
    <w:rsid w:val="00481800"/>
    <w:rsid w:val="0048479C"/>
    <w:rsid w:val="00484D1E"/>
    <w:rsid w:val="004956A9"/>
    <w:rsid w:val="004A68F8"/>
    <w:rsid w:val="004A7198"/>
    <w:rsid w:val="004C1058"/>
    <w:rsid w:val="004C4ADC"/>
    <w:rsid w:val="004D0193"/>
    <w:rsid w:val="004D4650"/>
    <w:rsid w:val="004D50A6"/>
    <w:rsid w:val="004D73AA"/>
    <w:rsid w:val="004E6B6B"/>
    <w:rsid w:val="004F6206"/>
    <w:rsid w:val="00505E6E"/>
    <w:rsid w:val="005072F2"/>
    <w:rsid w:val="00510FD5"/>
    <w:rsid w:val="00515E4F"/>
    <w:rsid w:val="00531248"/>
    <w:rsid w:val="0053209F"/>
    <w:rsid w:val="00535E98"/>
    <w:rsid w:val="00537F67"/>
    <w:rsid w:val="005427FE"/>
    <w:rsid w:val="00544236"/>
    <w:rsid w:val="00547939"/>
    <w:rsid w:val="00554520"/>
    <w:rsid w:val="0056283C"/>
    <w:rsid w:val="00562FE9"/>
    <w:rsid w:val="00575B14"/>
    <w:rsid w:val="00580FB4"/>
    <w:rsid w:val="00582658"/>
    <w:rsid w:val="00582DEB"/>
    <w:rsid w:val="00586F24"/>
    <w:rsid w:val="0059068C"/>
    <w:rsid w:val="00592C1D"/>
    <w:rsid w:val="005938EB"/>
    <w:rsid w:val="00594D3B"/>
    <w:rsid w:val="00595D65"/>
    <w:rsid w:val="0059668A"/>
    <w:rsid w:val="005A0381"/>
    <w:rsid w:val="005A767D"/>
    <w:rsid w:val="005B5411"/>
    <w:rsid w:val="005C0A69"/>
    <w:rsid w:val="005C2EC3"/>
    <w:rsid w:val="005E03D1"/>
    <w:rsid w:val="005E2C53"/>
    <w:rsid w:val="005E72A8"/>
    <w:rsid w:val="005E756A"/>
    <w:rsid w:val="005F7EC2"/>
    <w:rsid w:val="00600ED7"/>
    <w:rsid w:val="00605633"/>
    <w:rsid w:val="00607489"/>
    <w:rsid w:val="00611C65"/>
    <w:rsid w:val="00613A58"/>
    <w:rsid w:val="00614691"/>
    <w:rsid w:val="00621255"/>
    <w:rsid w:val="00621C8D"/>
    <w:rsid w:val="00630E02"/>
    <w:rsid w:val="00634673"/>
    <w:rsid w:val="0063734D"/>
    <w:rsid w:val="00637744"/>
    <w:rsid w:val="00637A7B"/>
    <w:rsid w:val="00641CA6"/>
    <w:rsid w:val="0065443B"/>
    <w:rsid w:val="00656109"/>
    <w:rsid w:val="00673201"/>
    <w:rsid w:val="006866D1"/>
    <w:rsid w:val="00690FB4"/>
    <w:rsid w:val="00693E8A"/>
    <w:rsid w:val="006952A3"/>
    <w:rsid w:val="0069556E"/>
    <w:rsid w:val="00697060"/>
    <w:rsid w:val="006A4EB4"/>
    <w:rsid w:val="006A6EF5"/>
    <w:rsid w:val="006C770E"/>
    <w:rsid w:val="006C772B"/>
    <w:rsid w:val="006D0756"/>
    <w:rsid w:val="006D1C50"/>
    <w:rsid w:val="006D4D2A"/>
    <w:rsid w:val="006F153C"/>
    <w:rsid w:val="006F242E"/>
    <w:rsid w:val="00706311"/>
    <w:rsid w:val="00706BA2"/>
    <w:rsid w:val="00724D92"/>
    <w:rsid w:val="007309A1"/>
    <w:rsid w:val="007355E9"/>
    <w:rsid w:val="0075149E"/>
    <w:rsid w:val="00756AC2"/>
    <w:rsid w:val="007616D4"/>
    <w:rsid w:val="00765D67"/>
    <w:rsid w:val="0076670F"/>
    <w:rsid w:val="00767D94"/>
    <w:rsid w:val="007714FF"/>
    <w:rsid w:val="007718D3"/>
    <w:rsid w:val="007751C9"/>
    <w:rsid w:val="00776024"/>
    <w:rsid w:val="00781619"/>
    <w:rsid w:val="007857E8"/>
    <w:rsid w:val="007864F1"/>
    <w:rsid w:val="00795F3D"/>
    <w:rsid w:val="00796385"/>
    <w:rsid w:val="007A656A"/>
    <w:rsid w:val="007A783F"/>
    <w:rsid w:val="007C04DD"/>
    <w:rsid w:val="007C0DD8"/>
    <w:rsid w:val="007C1221"/>
    <w:rsid w:val="007C17D4"/>
    <w:rsid w:val="007C198F"/>
    <w:rsid w:val="007D0D6D"/>
    <w:rsid w:val="007D2AA6"/>
    <w:rsid w:val="007D3323"/>
    <w:rsid w:val="007D69D2"/>
    <w:rsid w:val="007E4D09"/>
    <w:rsid w:val="007F5229"/>
    <w:rsid w:val="00825123"/>
    <w:rsid w:val="008256A1"/>
    <w:rsid w:val="00843112"/>
    <w:rsid w:val="00845D7B"/>
    <w:rsid w:val="00850F30"/>
    <w:rsid w:val="008525B6"/>
    <w:rsid w:val="00856D47"/>
    <w:rsid w:val="00861243"/>
    <w:rsid w:val="00865C03"/>
    <w:rsid w:val="0086692E"/>
    <w:rsid w:val="008729AB"/>
    <w:rsid w:val="00872E79"/>
    <w:rsid w:val="0088578C"/>
    <w:rsid w:val="00895300"/>
    <w:rsid w:val="0089608D"/>
    <w:rsid w:val="00897CAB"/>
    <w:rsid w:val="008A10AC"/>
    <w:rsid w:val="008A3F3C"/>
    <w:rsid w:val="008A5CFB"/>
    <w:rsid w:val="008C22EE"/>
    <w:rsid w:val="008C379B"/>
    <w:rsid w:val="008C749D"/>
    <w:rsid w:val="008D22E1"/>
    <w:rsid w:val="008D2C45"/>
    <w:rsid w:val="008D3A27"/>
    <w:rsid w:val="008E04A8"/>
    <w:rsid w:val="008E0FF4"/>
    <w:rsid w:val="008E2617"/>
    <w:rsid w:val="008E6D0F"/>
    <w:rsid w:val="008E7742"/>
    <w:rsid w:val="00910491"/>
    <w:rsid w:val="00914517"/>
    <w:rsid w:val="00917D09"/>
    <w:rsid w:val="00921E24"/>
    <w:rsid w:val="00925538"/>
    <w:rsid w:val="00932A3B"/>
    <w:rsid w:val="00933AEB"/>
    <w:rsid w:val="00933EAE"/>
    <w:rsid w:val="00935F7F"/>
    <w:rsid w:val="00943D17"/>
    <w:rsid w:val="0095457A"/>
    <w:rsid w:val="009572E5"/>
    <w:rsid w:val="009651DF"/>
    <w:rsid w:val="0096581F"/>
    <w:rsid w:val="009808FE"/>
    <w:rsid w:val="009862C8"/>
    <w:rsid w:val="00987D74"/>
    <w:rsid w:val="009A53B9"/>
    <w:rsid w:val="009B4301"/>
    <w:rsid w:val="009C2F72"/>
    <w:rsid w:val="009C32C5"/>
    <w:rsid w:val="009C3658"/>
    <w:rsid w:val="009C558E"/>
    <w:rsid w:val="00A001EB"/>
    <w:rsid w:val="00A04E49"/>
    <w:rsid w:val="00A278B1"/>
    <w:rsid w:val="00A31D97"/>
    <w:rsid w:val="00A3471A"/>
    <w:rsid w:val="00A37D65"/>
    <w:rsid w:val="00A4222F"/>
    <w:rsid w:val="00A44F7B"/>
    <w:rsid w:val="00A46145"/>
    <w:rsid w:val="00A538BD"/>
    <w:rsid w:val="00A62FB5"/>
    <w:rsid w:val="00A64285"/>
    <w:rsid w:val="00A66929"/>
    <w:rsid w:val="00A763B4"/>
    <w:rsid w:val="00A7759C"/>
    <w:rsid w:val="00A81492"/>
    <w:rsid w:val="00A81A6E"/>
    <w:rsid w:val="00A85619"/>
    <w:rsid w:val="00A87215"/>
    <w:rsid w:val="00A93732"/>
    <w:rsid w:val="00A96E95"/>
    <w:rsid w:val="00AB0558"/>
    <w:rsid w:val="00AB124C"/>
    <w:rsid w:val="00AB61A6"/>
    <w:rsid w:val="00AC0A52"/>
    <w:rsid w:val="00AC627A"/>
    <w:rsid w:val="00AC6E9F"/>
    <w:rsid w:val="00AD270C"/>
    <w:rsid w:val="00AE06C7"/>
    <w:rsid w:val="00AE08D4"/>
    <w:rsid w:val="00AF39A2"/>
    <w:rsid w:val="00B0325B"/>
    <w:rsid w:val="00B05638"/>
    <w:rsid w:val="00B07D5E"/>
    <w:rsid w:val="00B1562F"/>
    <w:rsid w:val="00B201E7"/>
    <w:rsid w:val="00B212D3"/>
    <w:rsid w:val="00B21D62"/>
    <w:rsid w:val="00B2418A"/>
    <w:rsid w:val="00B24612"/>
    <w:rsid w:val="00B2707E"/>
    <w:rsid w:val="00B2722A"/>
    <w:rsid w:val="00B3188F"/>
    <w:rsid w:val="00B37DB1"/>
    <w:rsid w:val="00B4371E"/>
    <w:rsid w:val="00B43E55"/>
    <w:rsid w:val="00B44514"/>
    <w:rsid w:val="00B6000D"/>
    <w:rsid w:val="00B7141D"/>
    <w:rsid w:val="00B7385B"/>
    <w:rsid w:val="00B767BA"/>
    <w:rsid w:val="00B77D96"/>
    <w:rsid w:val="00B82B40"/>
    <w:rsid w:val="00B87505"/>
    <w:rsid w:val="00B971AB"/>
    <w:rsid w:val="00B975FD"/>
    <w:rsid w:val="00BA1CCD"/>
    <w:rsid w:val="00BB1A2D"/>
    <w:rsid w:val="00BB1D36"/>
    <w:rsid w:val="00BB65A9"/>
    <w:rsid w:val="00BC19C5"/>
    <w:rsid w:val="00BC423D"/>
    <w:rsid w:val="00BD4387"/>
    <w:rsid w:val="00BE0BC3"/>
    <w:rsid w:val="00BF108B"/>
    <w:rsid w:val="00C03329"/>
    <w:rsid w:val="00C11BA7"/>
    <w:rsid w:val="00C1645D"/>
    <w:rsid w:val="00C208A3"/>
    <w:rsid w:val="00C22DE9"/>
    <w:rsid w:val="00C425C6"/>
    <w:rsid w:val="00C46A81"/>
    <w:rsid w:val="00C4750B"/>
    <w:rsid w:val="00C51223"/>
    <w:rsid w:val="00C61909"/>
    <w:rsid w:val="00C639A5"/>
    <w:rsid w:val="00C649E0"/>
    <w:rsid w:val="00C736C9"/>
    <w:rsid w:val="00C73C45"/>
    <w:rsid w:val="00C76E6F"/>
    <w:rsid w:val="00C8055B"/>
    <w:rsid w:val="00C83D74"/>
    <w:rsid w:val="00C8766B"/>
    <w:rsid w:val="00C9147E"/>
    <w:rsid w:val="00C95A96"/>
    <w:rsid w:val="00CB04AA"/>
    <w:rsid w:val="00CB3C3C"/>
    <w:rsid w:val="00CB619E"/>
    <w:rsid w:val="00CC6958"/>
    <w:rsid w:val="00CD7462"/>
    <w:rsid w:val="00CD7B00"/>
    <w:rsid w:val="00CE650D"/>
    <w:rsid w:val="00CE6D6B"/>
    <w:rsid w:val="00D0230B"/>
    <w:rsid w:val="00D100BF"/>
    <w:rsid w:val="00D1405F"/>
    <w:rsid w:val="00D16454"/>
    <w:rsid w:val="00D17593"/>
    <w:rsid w:val="00D21378"/>
    <w:rsid w:val="00D27B38"/>
    <w:rsid w:val="00D354B5"/>
    <w:rsid w:val="00D37203"/>
    <w:rsid w:val="00D414F6"/>
    <w:rsid w:val="00D46932"/>
    <w:rsid w:val="00D47B49"/>
    <w:rsid w:val="00D56591"/>
    <w:rsid w:val="00D61B5E"/>
    <w:rsid w:val="00D63010"/>
    <w:rsid w:val="00D63FF3"/>
    <w:rsid w:val="00D82B2D"/>
    <w:rsid w:val="00D93750"/>
    <w:rsid w:val="00D942B8"/>
    <w:rsid w:val="00D96990"/>
    <w:rsid w:val="00D97B65"/>
    <w:rsid w:val="00DA3238"/>
    <w:rsid w:val="00DA4384"/>
    <w:rsid w:val="00DA5807"/>
    <w:rsid w:val="00DB359B"/>
    <w:rsid w:val="00DB65BB"/>
    <w:rsid w:val="00DB782C"/>
    <w:rsid w:val="00DC3664"/>
    <w:rsid w:val="00DC59E1"/>
    <w:rsid w:val="00DE103D"/>
    <w:rsid w:val="00DF1810"/>
    <w:rsid w:val="00DF4219"/>
    <w:rsid w:val="00E0310D"/>
    <w:rsid w:val="00E033DF"/>
    <w:rsid w:val="00E06A80"/>
    <w:rsid w:val="00E1202C"/>
    <w:rsid w:val="00E12507"/>
    <w:rsid w:val="00E253AB"/>
    <w:rsid w:val="00E30CDA"/>
    <w:rsid w:val="00E31016"/>
    <w:rsid w:val="00E33C29"/>
    <w:rsid w:val="00E4065E"/>
    <w:rsid w:val="00E51C7E"/>
    <w:rsid w:val="00E54799"/>
    <w:rsid w:val="00E57B2A"/>
    <w:rsid w:val="00E7082A"/>
    <w:rsid w:val="00E70D6F"/>
    <w:rsid w:val="00E75A1A"/>
    <w:rsid w:val="00E80F91"/>
    <w:rsid w:val="00E8652A"/>
    <w:rsid w:val="00E91DEA"/>
    <w:rsid w:val="00E958AA"/>
    <w:rsid w:val="00E9681A"/>
    <w:rsid w:val="00EB11D0"/>
    <w:rsid w:val="00EB22B9"/>
    <w:rsid w:val="00EB31C0"/>
    <w:rsid w:val="00EC668D"/>
    <w:rsid w:val="00EC6780"/>
    <w:rsid w:val="00ED4281"/>
    <w:rsid w:val="00ED5B7B"/>
    <w:rsid w:val="00EF78FE"/>
    <w:rsid w:val="00F00990"/>
    <w:rsid w:val="00F0447A"/>
    <w:rsid w:val="00F05D81"/>
    <w:rsid w:val="00F06069"/>
    <w:rsid w:val="00F134E6"/>
    <w:rsid w:val="00F21E1C"/>
    <w:rsid w:val="00F264BB"/>
    <w:rsid w:val="00F33AFE"/>
    <w:rsid w:val="00F33E88"/>
    <w:rsid w:val="00F361FD"/>
    <w:rsid w:val="00F4432C"/>
    <w:rsid w:val="00F54BF9"/>
    <w:rsid w:val="00F6301B"/>
    <w:rsid w:val="00F6481A"/>
    <w:rsid w:val="00F657EC"/>
    <w:rsid w:val="00F76342"/>
    <w:rsid w:val="00F77A8F"/>
    <w:rsid w:val="00F800E0"/>
    <w:rsid w:val="00F86F9D"/>
    <w:rsid w:val="00F91F36"/>
    <w:rsid w:val="00F925CC"/>
    <w:rsid w:val="00F96732"/>
    <w:rsid w:val="00F96AC9"/>
    <w:rsid w:val="00F96BD9"/>
    <w:rsid w:val="00F9749F"/>
    <w:rsid w:val="00FA1F10"/>
    <w:rsid w:val="00FB7846"/>
    <w:rsid w:val="00FB7AC6"/>
    <w:rsid w:val="00FC15C1"/>
    <w:rsid w:val="00FC1CDF"/>
    <w:rsid w:val="00FC29F0"/>
    <w:rsid w:val="00FC3D7D"/>
    <w:rsid w:val="00FD19C9"/>
    <w:rsid w:val="00FD49D4"/>
    <w:rsid w:val="00FD4ED2"/>
    <w:rsid w:val="00FF0E3E"/>
    <w:rsid w:val="00FF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5E"/>
    <w:rPr>
      <w:rFonts w:ascii="Times New Roman" w:eastAsia="Times New Roman" w:hAnsi="Times New Roman"/>
      <w:sz w:val="28"/>
      <w:szCs w:val="28"/>
    </w:rPr>
  </w:style>
  <w:style w:type="paragraph" w:styleId="1">
    <w:name w:val="heading 1"/>
    <w:basedOn w:val="a"/>
    <w:next w:val="a"/>
    <w:link w:val="10"/>
    <w:uiPriority w:val="99"/>
    <w:qFormat/>
    <w:rsid w:val="00510FD5"/>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B5E"/>
    <w:pPr>
      <w:spacing w:after="120"/>
    </w:pPr>
    <w:rPr>
      <w:sz w:val="24"/>
      <w:szCs w:val="24"/>
    </w:rPr>
  </w:style>
  <w:style w:type="character" w:customStyle="1" w:styleId="a4">
    <w:name w:val="Основной текст Знак"/>
    <w:basedOn w:val="a0"/>
    <w:link w:val="a3"/>
    <w:rsid w:val="00D61B5E"/>
    <w:rPr>
      <w:rFonts w:ascii="Times New Roman" w:eastAsia="Times New Roman" w:hAnsi="Times New Roman" w:cs="Times New Roman"/>
      <w:sz w:val="24"/>
      <w:szCs w:val="24"/>
      <w:lang w:eastAsia="ru-RU"/>
    </w:rPr>
  </w:style>
  <w:style w:type="paragraph" w:styleId="a5">
    <w:name w:val="List Paragraph"/>
    <w:basedOn w:val="a"/>
    <w:uiPriority w:val="34"/>
    <w:qFormat/>
    <w:rsid w:val="001E7DE3"/>
    <w:pPr>
      <w:ind w:left="720"/>
      <w:contextualSpacing/>
    </w:pPr>
  </w:style>
  <w:style w:type="character" w:styleId="a6">
    <w:name w:val="Hyperlink"/>
    <w:basedOn w:val="a0"/>
    <w:rsid w:val="00A763B4"/>
    <w:rPr>
      <w:color w:val="0066CC"/>
      <w:u w:val="single"/>
    </w:rPr>
  </w:style>
  <w:style w:type="character" w:customStyle="1" w:styleId="2">
    <w:name w:val="Основной текст (2)_"/>
    <w:basedOn w:val="a0"/>
    <w:link w:val="20"/>
    <w:rsid w:val="00A763B4"/>
    <w:rPr>
      <w:rFonts w:ascii="Times New Roman" w:eastAsia="Times New Roman" w:hAnsi="Times New Roman"/>
      <w:sz w:val="26"/>
      <w:szCs w:val="26"/>
      <w:shd w:val="clear" w:color="auto" w:fill="FFFFFF"/>
    </w:rPr>
  </w:style>
  <w:style w:type="character" w:customStyle="1" w:styleId="a7">
    <w:name w:val="Основной текст_"/>
    <w:basedOn w:val="a0"/>
    <w:link w:val="11"/>
    <w:rsid w:val="00A763B4"/>
    <w:rPr>
      <w:rFonts w:ascii="Times New Roman" w:eastAsia="Times New Roman" w:hAnsi="Times New Roman"/>
      <w:sz w:val="23"/>
      <w:szCs w:val="23"/>
      <w:shd w:val="clear" w:color="auto" w:fill="FFFFFF"/>
    </w:rPr>
  </w:style>
  <w:style w:type="character" w:customStyle="1" w:styleId="3">
    <w:name w:val="Основной текст (3)_"/>
    <w:basedOn w:val="a0"/>
    <w:link w:val="30"/>
    <w:rsid w:val="00A763B4"/>
    <w:rPr>
      <w:rFonts w:ascii="Times New Roman" w:eastAsia="Times New Roman" w:hAnsi="Times New Roman"/>
      <w:sz w:val="27"/>
      <w:szCs w:val="27"/>
      <w:shd w:val="clear" w:color="auto" w:fill="FFFFFF"/>
    </w:rPr>
  </w:style>
  <w:style w:type="character" w:customStyle="1" w:styleId="3-1pt">
    <w:name w:val="Основной текст (3) + Курсив;Интервал -1 pt"/>
    <w:basedOn w:val="3"/>
    <w:rsid w:val="00A763B4"/>
    <w:rPr>
      <w:rFonts w:ascii="Times New Roman" w:eastAsia="Times New Roman" w:hAnsi="Times New Roman"/>
      <w:i/>
      <w:iCs/>
      <w:spacing w:val="-30"/>
      <w:sz w:val="27"/>
      <w:szCs w:val="27"/>
      <w:shd w:val="clear" w:color="auto" w:fill="FFFFFF"/>
      <w:lang w:val="en-US"/>
    </w:rPr>
  </w:style>
  <w:style w:type="paragraph" w:customStyle="1" w:styleId="20">
    <w:name w:val="Основной текст (2)"/>
    <w:basedOn w:val="a"/>
    <w:link w:val="2"/>
    <w:rsid w:val="00A763B4"/>
    <w:pPr>
      <w:shd w:val="clear" w:color="auto" w:fill="FFFFFF"/>
      <w:spacing w:after="180" w:line="317" w:lineRule="exact"/>
      <w:jc w:val="center"/>
    </w:pPr>
    <w:rPr>
      <w:sz w:val="26"/>
      <w:szCs w:val="26"/>
    </w:rPr>
  </w:style>
  <w:style w:type="paragraph" w:customStyle="1" w:styleId="11">
    <w:name w:val="Основной текст1"/>
    <w:basedOn w:val="a"/>
    <w:link w:val="a7"/>
    <w:rsid w:val="00A763B4"/>
    <w:pPr>
      <w:shd w:val="clear" w:color="auto" w:fill="FFFFFF"/>
      <w:spacing w:before="180" w:line="274" w:lineRule="exact"/>
      <w:ind w:hanging="360"/>
      <w:jc w:val="both"/>
    </w:pPr>
    <w:rPr>
      <w:sz w:val="23"/>
      <w:szCs w:val="23"/>
    </w:rPr>
  </w:style>
  <w:style w:type="paragraph" w:customStyle="1" w:styleId="30">
    <w:name w:val="Основной текст (3)"/>
    <w:basedOn w:val="a"/>
    <w:link w:val="3"/>
    <w:rsid w:val="00A763B4"/>
    <w:pPr>
      <w:shd w:val="clear" w:color="auto" w:fill="FFFFFF"/>
      <w:spacing w:before="300" w:after="180" w:line="322" w:lineRule="exact"/>
      <w:jc w:val="center"/>
    </w:pPr>
    <w:rPr>
      <w:sz w:val="27"/>
      <w:szCs w:val="27"/>
    </w:rPr>
  </w:style>
  <w:style w:type="paragraph" w:styleId="a8">
    <w:name w:val="No Spacing"/>
    <w:uiPriority w:val="1"/>
    <w:qFormat/>
    <w:rsid w:val="00DC59E1"/>
    <w:rPr>
      <w:rFonts w:ascii="Times New Roman" w:eastAsia="Times New Roman" w:hAnsi="Times New Roman"/>
      <w:sz w:val="28"/>
      <w:szCs w:val="28"/>
    </w:rPr>
  </w:style>
  <w:style w:type="character" w:customStyle="1" w:styleId="apple-converted-space">
    <w:name w:val="apple-converted-space"/>
    <w:basedOn w:val="a0"/>
    <w:rsid w:val="001A20FE"/>
  </w:style>
  <w:style w:type="paragraph" w:styleId="a9">
    <w:name w:val="Body Text Indent"/>
    <w:basedOn w:val="a"/>
    <w:link w:val="aa"/>
    <w:rsid w:val="00510FD5"/>
    <w:pPr>
      <w:spacing w:after="120"/>
      <w:ind w:left="283"/>
    </w:pPr>
    <w:rPr>
      <w:sz w:val="24"/>
      <w:szCs w:val="24"/>
    </w:rPr>
  </w:style>
  <w:style w:type="character" w:customStyle="1" w:styleId="aa">
    <w:name w:val="Основной текст с отступом Знак"/>
    <w:basedOn w:val="a0"/>
    <w:link w:val="a9"/>
    <w:rsid w:val="00510FD5"/>
    <w:rPr>
      <w:rFonts w:ascii="Times New Roman" w:eastAsia="Times New Roman" w:hAnsi="Times New Roman"/>
      <w:sz w:val="24"/>
      <w:szCs w:val="24"/>
    </w:rPr>
  </w:style>
  <w:style w:type="character" w:customStyle="1" w:styleId="10">
    <w:name w:val="Заголовок 1 Знак"/>
    <w:basedOn w:val="a0"/>
    <w:link w:val="1"/>
    <w:uiPriority w:val="99"/>
    <w:rsid w:val="00510FD5"/>
    <w:rPr>
      <w:rFonts w:ascii="Arial" w:eastAsia="Times New Roman" w:hAnsi="Arial" w:cs="Arial"/>
      <w:b/>
      <w:bCs/>
      <w:color w:val="26282F"/>
      <w:sz w:val="24"/>
      <w:szCs w:val="24"/>
    </w:rPr>
  </w:style>
  <w:style w:type="character" w:customStyle="1" w:styleId="ab">
    <w:name w:val="Гипертекстовая ссылка"/>
    <w:basedOn w:val="a0"/>
    <w:uiPriority w:val="99"/>
    <w:rsid w:val="00510FD5"/>
    <w:rPr>
      <w:color w:val="106BBE"/>
    </w:rPr>
  </w:style>
  <w:style w:type="character" w:customStyle="1" w:styleId="12">
    <w:name w:val="Основной текст (12)_"/>
    <w:basedOn w:val="a0"/>
    <w:link w:val="120"/>
    <w:rsid w:val="000A0D96"/>
    <w:rPr>
      <w:b/>
      <w:bCs/>
      <w:spacing w:val="9"/>
      <w:sz w:val="23"/>
      <w:szCs w:val="23"/>
      <w:shd w:val="clear" w:color="auto" w:fill="FFFFFF"/>
    </w:rPr>
  </w:style>
  <w:style w:type="paragraph" w:customStyle="1" w:styleId="120">
    <w:name w:val="Основной текст (12)"/>
    <w:basedOn w:val="a"/>
    <w:link w:val="12"/>
    <w:rsid w:val="000A0D96"/>
    <w:pPr>
      <w:widowControl w:val="0"/>
      <w:shd w:val="clear" w:color="auto" w:fill="FFFFFF"/>
      <w:spacing w:after="300" w:line="240" w:lineRule="atLeast"/>
      <w:ind w:hanging="1920"/>
    </w:pPr>
    <w:rPr>
      <w:rFonts w:ascii="Calibri" w:eastAsia="Calibri" w:hAnsi="Calibri"/>
      <w:b/>
      <w:bCs/>
      <w:spacing w:val="9"/>
      <w:sz w:val="23"/>
      <w:szCs w:val="23"/>
    </w:rPr>
  </w:style>
  <w:style w:type="paragraph" w:styleId="ac">
    <w:name w:val="header"/>
    <w:basedOn w:val="a"/>
    <w:link w:val="ad"/>
    <w:uiPriority w:val="99"/>
    <w:semiHidden/>
    <w:unhideWhenUsed/>
    <w:rsid w:val="00A64285"/>
    <w:pPr>
      <w:tabs>
        <w:tab w:val="center" w:pos="4677"/>
        <w:tab w:val="right" w:pos="9355"/>
      </w:tabs>
    </w:pPr>
  </w:style>
  <w:style w:type="character" w:customStyle="1" w:styleId="ad">
    <w:name w:val="Верхний колонтитул Знак"/>
    <w:basedOn w:val="a0"/>
    <w:link w:val="ac"/>
    <w:uiPriority w:val="99"/>
    <w:semiHidden/>
    <w:rsid w:val="00A64285"/>
    <w:rPr>
      <w:rFonts w:ascii="Times New Roman" w:eastAsia="Times New Roman" w:hAnsi="Times New Roman"/>
      <w:sz w:val="28"/>
      <w:szCs w:val="28"/>
    </w:rPr>
  </w:style>
  <w:style w:type="paragraph" w:styleId="ae">
    <w:name w:val="footer"/>
    <w:basedOn w:val="a"/>
    <w:link w:val="af"/>
    <w:uiPriority w:val="99"/>
    <w:semiHidden/>
    <w:unhideWhenUsed/>
    <w:rsid w:val="00A64285"/>
    <w:pPr>
      <w:tabs>
        <w:tab w:val="center" w:pos="4677"/>
        <w:tab w:val="right" w:pos="9355"/>
      </w:tabs>
    </w:pPr>
  </w:style>
  <w:style w:type="character" w:customStyle="1" w:styleId="af">
    <w:name w:val="Нижний колонтитул Знак"/>
    <w:basedOn w:val="a0"/>
    <w:link w:val="ae"/>
    <w:uiPriority w:val="99"/>
    <w:semiHidden/>
    <w:rsid w:val="00A64285"/>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5E"/>
    <w:rPr>
      <w:rFonts w:ascii="Times New Roman" w:eastAsia="Times New Roman" w:hAnsi="Times New Roman"/>
      <w:sz w:val="28"/>
      <w:szCs w:val="28"/>
    </w:rPr>
  </w:style>
  <w:style w:type="paragraph" w:styleId="1">
    <w:name w:val="heading 1"/>
    <w:basedOn w:val="a"/>
    <w:next w:val="a"/>
    <w:link w:val="10"/>
    <w:uiPriority w:val="99"/>
    <w:qFormat/>
    <w:rsid w:val="00510FD5"/>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B5E"/>
    <w:pPr>
      <w:spacing w:after="120"/>
    </w:pPr>
    <w:rPr>
      <w:sz w:val="24"/>
      <w:szCs w:val="24"/>
    </w:rPr>
  </w:style>
  <w:style w:type="character" w:customStyle="1" w:styleId="a4">
    <w:name w:val="Основной текст Знак"/>
    <w:basedOn w:val="a0"/>
    <w:link w:val="a3"/>
    <w:rsid w:val="00D61B5E"/>
    <w:rPr>
      <w:rFonts w:ascii="Times New Roman" w:eastAsia="Times New Roman" w:hAnsi="Times New Roman" w:cs="Times New Roman"/>
      <w:sz w:val="24"/>
      <w:szCs w:val="24"/>
      <w:lang w:eastAsia="ru-RU"/>
    </w:rPr>
  </w:style>
  <w:style w:type="paragraph" w:styleId="a5">
    <w:name w:val="List Paragraph"/>
    <w:basedOn w:val="a"/>
    <w:uiPriority w:val="34"/>
    <w:qFormat/>
    <w:rsid w:val="001E7DE3"/>
    <w:pPr>
      <w:ind w:left="720"/>
      <w:contextualSpacing/>
    </w:pPr>
  </w:style>
  <w:style w:type="character" w:styleId="a6">
    <w:name w:val="Hyperlink"/>
    <w:basedOn w:val="a0"/>
    <w:rsid w:val="00A763B4"/>
    <w:rPr>
      <w:color w:val="0066CC"/>
      <w:u w:val="single"/>
    </w:rPr>
  </w:style>
  <w:style w:type="character" w:customStyle="1" w:styleId="2">
    <w:name w:val="Основной текст (2)_"/>
    <w:basedOn w:val="a0"/>
    <w:link w:val="20"/>
    <w:rsid w:val="00A763B4"/>
    <w:rPr>
      <w:rFonts w:ascii="Times New Roman" w:eastAsia="Times New Roman" w:hAnsi="Times New Roman"/>
      <w:sz w:val="26"/>
      <w:szCs w:val="26"/>
      <w:shd w:val="clear" w:color="auto" w:fill="FFFFFF"/>
    </w:rPr>
  </w:style>
  <w:style w:type="character" w:customStyle="1" w:styleId="a7">
    <w:name w:val="Основной текст_"/>
    <w:basedOn w:val="a0"/>
    <w:link w:val="11"/>
    <w:rsid w:val="00A763B4"/>
    <w:rPr>
      <w:rFonts w:ascii="Times New Roman" w:eastAsia="Times New Roman" w:hAnsi="Times New Roman"/>
      <w:sz w:val="23"/>
      <w:szCs w:val="23"/>
      <w:shd w:val="clear" w:color="auto" w:fill="FFFFFF"/>
    </w:rPr>
  </w:style>
  <w:style w:type="character" w:customStyle="1" w:styleId="3">
    <w:name w:val="Основной текст (3)_"/>
    <w:basedOn w:val="a0"/>
    <w:link w:val="30"/>
    <w:rsid w:val="00A763B4"/>
    <w:rPr>
      <w:rFonts w:ascii="Times New Roman" w:eastAsia="Times New Roman" w:hAnsi="Times New Roman"/>
      <w:sz w:val="27"/>
      <w:szCs w:val="27"/>
      <w:shd w:val="clear" w:color="auto" w:fill="FFFFFF"/>
    </w:rPr>
  </w:style>
  <w:style w:type="character" w:customStyle="1" w:styleId="3-1pt">
    <w:name w:val="Основной текст (3) + Курсив;Интервал -1 pt"/>
    <w:basedOn w:val="3"/>
    <w:rsid w:val="00A763B4"/>
    <w:rPr>
      <w:rFonts w:ascii="Times New Roman" w:eastAsia="Times New Roman" w:hAnsi="Times New Roman"/>
      <w:i/>
      <w:iCs/>
      <w:spacing w:val="-30"/>
      <w:sz w:val="27"/>
      <w:szCs w:val="27"/>
      <w:shd w:val="clear" w:color="auto" w:fill="FFFFFF"/>
      <w:lang w:val="en-US"/>
    </w:rPr>
  </w:style>
  <w:style w:type="paragraph" w:customStyle="1" w:styleId="20">
    <w:name w:val="Основной текст (2)"/>
    <w:basedOn w:val="a"/>
    <w:link w:val="2"/>
    <w:rsid w:val="00A763B4"/>
    <w:pPr>
      <w:shd w:val="clear" w:color="auto" w:fill="FFFFFF"/>
      <w:spacing w:after="180" w:line="317" w:lineRule="exact"/>
      <w:jc w:val="center"/>
    </w:pPr>
    <w:rPr>
      <w:sz w:val="26"/>
      <w:szCs w:val="26"/>
    </w:rPr>
  </w:style>
  <w:style w:type="paragraph" w:customStyle="1" w:styleId="11">
    <w:name w:val="Основной текст1"/>
    <w:basedOn w:val="a"/>
    <w:link w:val="a7"/>
    <w:rsid w:val="00A763B4"/>
    <w:pPr>
      <w:shd w:val="clear" w:color="auto" w:fill="FFFFFF"/>
      <w:spacing w:before="180" w:line="274" w:lineRule="exact"/>
      <w:ind w:hanging="360"/>
      <w:jc w:val="both"/>
    </w:pPr>
    <w:rPr>
      <w:sz w:val="23"/>
      <w:szCs w:val="23"/>
    </w:rPr>
  </w:style>
  <w:style w:type="paragraph" w:customStyle="1" w:styleId="30">
    <w:name w:val="Основной текст (3)"/>
    <w:basedOn w:val="a"/>
    <w:link w:val="3"/>
    <w:rsid w:val="00A763B4"/>
    <w:pPr>
      <w:shd w:val="clear" w:color="auto" w:fill="FFFFFF"/>
      <w:spacing w:before="300" w:after="180" w:line="322" w:lineRule="exact"/>
      <w:jc w:val="center"/>
    </w:pPr>
    <w:rPr>
      <w:sz w:val="27"/>
      <w:szCs w:val="27"/>
    </w:rPr>
  </w:style>
  <w:style w:type="paragraph" w:styleId="a8">
    <w:name w:val="No Spacing"/>
    <w:uiPriority w:val="1"/>
    <w:qFormat/>
    <w:rsid w:val="00DC59E1"/>
    <w:rPr>
      <w:rFonts w:ascii="Times New Roman" w:eastAsia="Times New Roman" w:hAnsi="Times New Roman"/>
      <w:sz w:val="28"/>
      <w:szCs w:val="28"/>
    </w:rPr>
  </w:style>
  <w:style w:type="character" w:customStyle="1" w:styleId="apple-converted-space">
    <w:name w:val="apple-converted-space"/>
    <w:basedOn w:val="a0"/>
    <w:rsid w:val="001A20FE"/>
  </w:style>
  <w:style w:type="paragraph" w:styleId="a9">
    <w:name w:val="Body Text Indent"/>
    <w:basedOn w:val="a"/>
    <w:link w:val="aa"/>
    <w:rsid w:val="00510FD5"/>
    <w:pPr>
      <w:spacing w:after="120"/>
      <w:ind w:left="283"/>
    </w:pPr>
    <w:rPr>
      <w:sz w:val="24"/>
      <w:szCs w:val="24"/>
    </w:rPr>
  </w:style>
  <w:style w:type="character" w:customStyle="1" w:styleId="aa">
    <w:name w:val="Основной текст с отступом Знак"/>
    <w:basedOn w:val="a0"/>
    <w:link w:val="a9"/>
    <w:rsid w:val="00510FD5"/>
    <w:rPr>
      <w:rFonts w:ascii="Times New Roman" w:eastAsia="Times New Roman" w:hAnsi="Times New Roman"/>
      <w:sz w:val="24"/>
      <w:szCs w:val="24"/>
    </w:rPr>
  </w:style>
  <w:style w:type="character" w:customStyle="1" w:styleId="10">
    <w:name w:val="Заголовок 1 Знак"/>
    <w:basedOn w:val="a0"/>
    <w:link w:val="1"/>
    <w:uiPriority w:val="99"/>
    <w:rsid w:val="00510FD5"/>
    <w:rPr>
      <w:rFonts w:ascii="Arial" w:eastAsia="Times New Roman" w:hAnsi="Arial" w:cs="Arial"/>
      <w:b/>
      <w:bCs/>
      <w:color w:val="26282F"/>
      <w:sz w:val="24"/>
      <w:szCs w:val="24"/>
    </w:rPr>
  </w:style>
  <w:style w:type="character" w:customStyle="1" w:styleId="ab">
    <w:name w:val="Гипертекстовая ссылка"/>
    <w:basedOn w:val="a0"/>
    <w:uiPriority w:val="99"/>
    <w:rsid w:val="00510FD5"/>
    <w:rPr>
      <w:color w:val="106BBE"/>
    </w:rPr>
  </w:style>
  <w:style w:type="character" w:customStyle="1" w:styleId="12">
    <w:name w:val="Основной текст (12)_"/>
    <w:basedOn w:val="a0"/>
    <w:link w:val="120"/>
    <w:rsid w:val="000A0D96"/>
    <w:rPr>
      <w:b/>
      <w:bCs/>
      <w:spacing w:val="9"/>
      <w:sz w:val="23"/>
      <w:szCs w:val="23"/>
      <w:shd w:val="clear" w:color="auto" w:fill="FFFFFF"/>
    </w:rPr>
  </w:style>
  <w:style w:type="paragraph" w:customStyle="1" w:styleId="120">
    <w:name w:val="Основной текст (12)"/>
    <w:basedOn w:val="a"/>
    <w:link w:val="12"/>
    <w:rsid w:val="000A0D96"/>
    <w:pPr>
      <w:widowControl w:val="0"/>
      <w:shd w:val="clear" w:color="auto" w:fill="FFFFFF"/>
      <w:spacing w:after="300" w:line="240" w:lineRule="atLeast"/>
      <w:ind w:hanging="1920"/>
    </w:pPr>
    <w:rPr>
      <w:rFonts w:ascii="Calibri" w:eastAsia="Calibri" w:hAnsi="Calibri"/>
      <w:b/>
      <w:bCs/>
      <w:spacing w:val="9"/>
      <w:sz w:val="23"/>
      <w:szCs w:val="23"/>
    </w:rPr>
  </w:style>
  <w:style w:type="paragraph" w:styleId="ac">
    <w:name w:val="header"/>
    <w:basedOn w:val="a"/>
    <w:link w:val="ad"/>
    <w:uiPriority w:val="99"/>
    <w:semiHidden/>
    <w:unhideWhenUsed/>
    <w:rsid w:val="00A64285"/>
    <w:pPr>
      <w:tabs>
        <w:tab w:val="center" w:pos="4677"/>
        <w:tab w:val="right" w:pos="9355"/>
      </w:tabs>
    </w:pPr>
  </w:style>
  <w:style w:type="character" w:customStyle="1" w:styleId="ad">
    <w:name w:val="Верхний колонтитул Знак"/>
    <w:basedOn w:val="a0"/>
    <w:link w:val="ac"/>
    <w:uiPriority w:val="99"/>
    <w:semiHidden/>
    <w:rsid w:val="00A64285"/>
    <w:rPr>
      <w:rFonts w:ascii="Times New Roman" w:eastAsia="Times New Roman" w:hAnsi="Times New Roman"/>
      <w:sz w:val="28"/>
      <w:szCs w:val="28"/>
    </w:rPr>
  </w:style>
  <w:style w:type="paragraph" w:styleId="ae">
    <w:name w:val="footer"/>
    <w:basedOn w:val="a"/>
    <w:link w:val="af"/>
    <w:uiPriority w:val="99"/>
    <w:semiHidden/>
    <w:unhideWhenUsed/>
    <w:rsid w:val="00A64285"/>
    <w:pPr>
      <w:tabs>
        <w:tab w:val="center" w:pos="4677"/>
        <w:tab w:val="right" w:pos="9355"/>
      </w:tabs>
    </w:pPr>
  </w:style>
  <w:style w:type="character" w:customStyle="1" w:styleId="af">
    <w:name w:val="Нижний колонтитул Знак"/>
    <w:basedOn w:val="a0"/>
    <w:link w:val="ae"/>
    <w:uiPriority w:val="99"/>
    <w:semiHidden/>
    <w:rsid w:val="00A64285"/>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8896">
      <w:bodyDiv w:val="1"/>
      <w:marLeft w:val="0"/>
      <w:marRight w:val="0"/>
      <w:marTop w:val="0"/>
      <w:marBottom w:val="0"/>
      <w:divBdr>
        <w:top w:val="none" w:sz="0" w:space="0" w:color="auto"/>
        <w:left w:val="none" w:sz="0" w:space="0" w:color="auto"/>
        <w:bottom w:val="none" w:sz="0" w:space="0" w:color="auto"/>
        <w:right w:val="none" w:sz="0" w:space="0" w:color="auto"/>
      </w:divBdr>
      <w:divsChild>
        <w:div w:id="61224014">
          <w:marLeft w:val="0"/>
          <w:marRight w:val="0"/>
          <w:marTop w:val="0"/>
          <w:marBottom w:val="0"/>
          <w:divBdr>
            <w:top w:val="none" w:sz="0" w:space="0" w:color="auto"/>
            <w:left w:val="none" w:sz="0" w:space="0" w:color="auto"/>
            <w:bottom w:val="none" w:sz="0" w:space="0" w:color="auto"/>
            <w:right w:val="none" w:sz="0" w:space="0" w:color="auto"/>
          </w:divBdr>
        </w:div>
        <w:div w:id="748775685">
          <w:marLeft w:val="0"/>
          <w:marRight w:val="0"/>
          <w:marTop w:val="0"/>
          <w:marBottom w:val="0"/>
          <w:divBdr>
            <w:top w:val="none" w:sz="0" w:space="0" w:color="auto"/>
            <w:left w:val="none" w:sz="0" w:space="0" w:color="auto"/>
            <w:bottom w:val="none" w:sz="0" w:space="0" w:color="auto"/>
            <w:right w:val="none" w:sz="0" w:space="0" w:color="auto"/>
          </w:divBdr>
        </w:div>
        <w:div w:id="841318399">
          <w:marLeft w:val="0"/>
          <w:marRight w:val="0"/>
          <w:marTop w:val="0"/>
          <w:marBottom w:val="0"/>
          <w:divBdr>
            <w:top w:val="none" w:sz="0" w:space="0" w:color="auto"/>
            <w:left w:val="none" w:sz="0" w:space="0" w:color="auto"/>
            <w:bottom w:val="none" w:sz="0" w:space="0" w:color="auto"/>
            <w:right w:val="none" w:sz="0" w:space="0" w:color="auto"/>
          </w:divBdr>
        </w:div>
      </w:divsChild>
    </w:div>
    <w:div w:id="234709533">
      <w:bodyDiv w:val="1"/>
      <w:marLeft w:val="0"/>
      <w:marRight w:val="0"/>
      <w:marTop w:val="0"/>
      <w:marBottom w:val="0"/>
      <w:divBdr>
        <w:top w:val="none" w:sz="0" w:space="0" w:color="auto"/>
        <w:left w:val="none" w:sz="0" w:space="0" w:color="auto"/>
        <w:bottom w:val="none" w:sz="0" w:space="0" w:color="auto"/>
        <w:right w:val="none" w:sz="0" w:space="0" w:color="auto"/>
      </w:divBdr>
      <w:divsChild>
        <w:div w:id="764302542">
          <w:marLeft w:val="0"/>
          <w:marRight w:val="0"/>
          <w:marTop w:val="0"/>
          <w:marBottom w:val="0"/>
          <w:divBdr>
            <w:top w:val="none" w:sz="0" w:space="0" w:color="auto"/>
            <w:left w:val="none" w:sz="0" w:space="0" w:color="auto"/>
            <w:bottom w:val="none" w:sz="0" w:space="0" w:color="auto"/>
            <w:right w:val="none" w:sz="0" w:space="0" w:color="auto"/>
          </w:divBdr>
        </w:div>
        <w:div w:id="2123375899">
          <w:marLeft w:val="0"/>
          <w:marRight w:val="0"/>
          <w:marTop w:val="0"/>
          <w:marBottom w:val="0"/>
          <w:divBdr>
            <w:top w:val="none" w:sz="0" w:space="0" w:color="auto"/>
            <w:left w:val="none" w:sz="0" w:space="0" w:color="auto"/>
            <w:bottom w:val="none" w:sz="0" w:space="0" w:color="auto"/>
            <w:right w:val="none" w:sz="0" w:space="0" w:color="auto"/>
          </w:divBdr>
        </w:div>
      </w:divsChild>
    </w:div>
    <w:div w:id="488525226">
      <w:bodyDiv w:val="1"/>
      <w:marLeft w:val="0"/>
      <w:marRight w:val="0"/>
      <w:marTop w:val="0"/>
      <w:marBottom w:val="0"/>
      <w:divBdr>
        <w:top w:val="none" w:sz="0" w:space="0" w:color="auto"/>
        <w:left w:val="none" w:sz="0" w:space="0" w:color="auto"/>
        <w:bottom w:val="none" w:sz="0" w:space="0" w:color="auto"/>
        <w:right w:val="none" w:sz="0" w:space="0" w:color="auto"/>
      </w:divBdr>
      <w:divsChild>
        <w:div w:id="2025593281">
          <w:marLeft w:val="0"/>
          <w:marRight w:val="0"/>
          <w:marTop w:val="0"/>
          <w:marBottom w:val="0"/>
          <w:divBdr>
            <w:top w:val="none" w:sz="0" w:space="0" w:color="auto"/>
            <w:left w:val="none" w:sz="0" w:space="0" w:color="auto"/>
            <w:bottom w:val="none" w:sz="0" w:space="0" w:color="auto"/>
            <w:right w:val="none" w:sz="0" w:space="0" w:color="auto"/>
          </w:divBdr>
        </w:div>
      </w:divsChild>
    </w:div>
    <w:div w:id="712848099">
      <w:bodyDiv w:val="1"/>
      <w:marLeft w:val="0"/>
      <w:marRight w:val="0"/>
      <w:marTop w:val="0"/>
      <w:marBottom w:val="0"/>
      <w:divBdr>
        <w:top w:val="none" w:sz="0" w:space="0" w:color="auto"/>
        <w:left w:val="none" w:sz="0" w:space="0" w:color="auto"/>
        <w:bottom w:val="none" w:sz="0" w:space="0" w:color="auto"/>
        <w:right w:val="none" w:sz="0" w:space="0" w:color="auto"/>
      </w:divBdr>
      <w:divsChild>
        <w:div w:id="1149051033">
          <w:marLeft w:val="0"/>
          <w:marRight w:val="0"/>
          <w:marTop w:val="0"/>
          <w:marBottom w:val="0"/>
          <w:divBdr>
            <w:top w:val="none" w:sz="0" w:space="0" w:color="auto"/>
            <w:left w:val="none" w:sz="0" w:space="0" w:color="auto"/>
            <w:bottom w:val="none" w:sz="0" w:space="0" w:color="auto"/>
            <w:right w:val="none" w:sz="0" w:space="0" w:color="auto"/>
          </w:divBdr>
        </w:div>
      </w:divsChild>
    </w:div>
    <w:div w:id="930043790">
      <w:bodyDiv w:val="1"/>
      <w:marLeft w:val="0"/>
      <w:marRight w:val="0"/>
      <w:marTop w:val="0"/>
      <w:marBottom w:val="0"/>
      <w:divBdr>
        <w:top w:val="none" w:sz="0" w:space="0" w:color="auto"/>
        <w:left w:val="none" w:sz="0" w:space="0" w:color="auto"/>
        <w:bottom w:val="none" w:sz="0" w:space="0" w:color="auto"/>
        <w:right w:val="none" w:sz="0" w:space="0" w:color="auto"/>
      </w:divBdr>
    </w:div>
    <w:div w:id="950164880">
      <w:bodyDiv w:val="1"/>
      <w:marLeft w:val="0"/>
      <w:marRight w:val="0"/>
      <w:marTop w:val="0"/>
      <w:marBottom w:val="0"/>
      <w:divBdr>
        <w:top w:val="none" w:sz="0" w:space="0" w:color="auto"/>
        <w:left w:val="none" w:sz="0" w:space="0" w:color="auto"/>
        <w:bottom w:val="none" w:sz="0" w:space="0" w:color="auto"/>
        <w:right w:val="none" w:sz="0" w:space="0" w:color="auto"/>
      </w:divBdr>
    </w:div>
    <w:div w:id="1445156439">
      <w:bodyDiv w:val="1"/>
      <w:marLeft w:val="0"/>
      <w:marRight w:val="0"/>
      <w:marTop w:val="0"/>
      <w:marBottom w:val="0"/>
      <w:divBdr>
        <w:top w:val="none" w:sz="0" w:space="0" w:color="auto"/>
        <w:left w:val="none" w:sz="0" w:space="0" w:color="auto"/>
        <w:bottom w:val="none" w:sz="0" w:space="0" w:color="auto"/>
        <w:right w:val="none" w:sz="0" w:space="0" w:color="auto"/>
      </w:divBdr>
    </w:div>
    <w:div w:id="1471901952">
      <w:bodyDiv w:val="1"/>
      <w:marLeft w:val="0"/>
      <w:marRight w:val="0"/>
      <w:marTop w:val="0"/>
      <w:marBottom w:val="0"/>
      <w:divBdr>
        <w:top w:val="none" w:sz="0" w:space="0" w:color="auto"/>
        <w:left w:val="none" w:sz="0" w:space="0" w:color="auto"/>
        <w:bottom w:val="none" w:sz="0" w:space="0" w:color="auto"/>
        <w:right w:val="none" w:sz="0" w:space="0" w:color="auto"/>
      </w:divBdr>
    </w:div>
    <w:div w:id="1639719538">
      <w:bodyDiv w:val="1"/>
      <w:marLeft w:val="0"/>
      <w:marRight w:val="0"/>
      <w:marTop w:val="0"/>
      <w:marBottom w:val="0"/>
      <w:divBdr>
        <w:top w:val="none" w:sz="0" w:space="0" w:color="auto"/>
        <w:left w:val="none" w:sz="0" w:space="0" w:color="auto"/>
        <w:bottom w:val="none" w:sz="0" w:space="0" w:color="auto"/>
        <w:right w:val="none" w:sz="0" w:space="0" w:color="auto"/>
      </w:divBdr>
    </w:div>
    <w:div w:id="20607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4178-7782-4CEE-8B1E-8F1680D9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14472</CharactersWithSpaces>
  <SharedDoc>false</SharedDoc>
  <HLinks>
    <vt:vector size="18" baseType="variant">
      <vt:variant>
        <vt:i4>6946868</vt:i4>
      </vt:variant>
      <vt:variant>
        <vt:i4>6</vt:i4>
      </vt:variant>
      <vt:variant>
        <vt:i4>0</vt:i4>
      </vt:variant>
      <vt:variant>
        <vt:i4>5</vt:i4>
      </vt:variant>
      <vt:variant>
        <vt:lpwstr>garantf1://12078089.0/</vt:lpwstr>
      </vt:variant>
      <vt:variant>
        <vt:lpwstr/>
      </vt:variant>
      <vt:variant>
        <vt:i4>6946868</vt:i4>
      </vt:variant>
      <vt:variant>
        <vt:i4>3</vt:i4>
      </vt:variant>
      <vt:variant>
        <vt:i4>0</vt:i4>
      </vt:variant>
      <vt:variant>
        <vt:i4>5</vt:i4>
      </vt:variant>
      <vt:variant>
        <vt:lpwstr>garantf1://12078089.0/</vt:lpwstr>
      </vt:variant>
      <vt:variant>
        <vt:lpwstr/>
      </vt:variant>
      <vt:variant>
        <vt:i4>4128866</vt:i4>
      </vt:variant>
      <vt:variant>
        <vt:i4>0</vt:i4>
      </vt:variant>
      <vt:variant>
        <vt:i4>0</vt:i4>
      </vt:variant>
      <vt:variant>
        <vt:i4>5</vt:i4>
      </vt:variant>
      <vt:variant>
        <vt:lpwstr>http://budget.1gl.ru/</vt:lpwstr>
      </vt:variant>
      <vt:variant>
        <vt:lpwstr>/document/99/902254657/ZAP2ENC3K2/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МЧС</dc:creator>
  <cp:lastModifiedBy>Оля</cp:lastModifiedBy>
  <cp:revision>36</cp:revision>
  <cp:lastPrinted>2017-01-26T13:52:00Z</cp:lastPrinted>
  <dcterms:created xsi:type="dcterms:W3CDTF">2018-02-06T07:32:00Z</dcterms:created>
  <dcterms:modified xsi:type="dcterms:W3CDTF">2021-03-22T13:33:00Z</dcterms:modified>
</cp:coreProperties>
</file>